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2B" w:rsidRDefault="00555BAF" w:rsidP="00555BAF">
      <w:pPr>
        <w:shd w:val="clear" w:color="auto" w:fill="FFFFFF"/>
        <w:spacing w:line="598" w:lineRule="exact"/>
        <w:jc w:val="center"/>
        <w:outlineLvl w:val="1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政府工作报告</w:t>
      </w:r>
    </w:p>
    <w:p w:rsidR="00555BAF" w:rsidRDefault="00555BAF" w:rsidP="00555BAF">
      <w:pPr>
        <w:pStyle w:val="a9"/>
        <w:widowControl w:val="0"/>
        <w:shd w:val="clear" w:color="auto" w:fill="FFFFFF"/>
        <w:spacing w:before="0" w:beforeAutospacing="0" w:after="0" w:afterAutospacing="0" w:line="24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306A2B" w:rsidRDefault="00555BAF" w:rsidP="00555BAF">
      <w:pPr>
        <w:pStyle w:val="a9"/>
        <w:widowControl w:val="0"/>
        <w:shd w:val="clear" w:color="auto" w:fill="FFFFFF"/>
        <w:spacing w:before="0" w:beforeAutospacing="0" w:after="0" w:afterAutospacing="0" w:line="52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/>
          <w:b/>
          <w:bCs/>
          <w:sz w:val="32"/>
          <w:szCs w:val="32"/>
        </w:rPr>
        <w:t>——</w:t>
      </w:r>
      <w:r>
        <w:rPr>
          <w:rFonts w:ascii="楷体_GB2312" w:eastAsia="楷体_GB2312"/>
          <w:b/>
          <w:bCs/>
          <w:sz w:val="32"/>
          <w:szCs w:val="32"/>
        </w:rPr>
        <w:t>2020</w:t>
      </w:r>
      <w:r>
        <w:rPr>
          <w:rFonts w:ascii="楷体_GB2312" w:eastAsia="楷体_GB2312" w:hint="eastAsia"/>
          <w:b/>
          <w:bCs/>
          <w:sz w:val="32"/>
          <w:szCs w:val="32"/>
        </w:rPr>
        <w:t>年5月31日在红旗区第十四届人民代表大会</w:t>
      </w:r>
    </w:p>
    <w:p w:rsidR="00306A2B" w:rsidRDefault="00555BAF" w:rsidP="00555BAF">
      <w:pPr>
        <w:pStyle w:val="a9"/>
        <w:widowControl w:val="0"/>
        <w:shd w:val="clear" w:color="auto" w:fill="FFFFFF"/>
        <w:spacing w:before="0" w:beforeAutospacing="0" w:after="0" w:afterAutospacing="0" w:line="52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第五次会议上</w:t>
      </w:r>
    </w:p>
    <w:p w:rsidR="00555BAF" w:rsidRDefault="00555BAF" w:rsidP="00555BAF">
      <w:pPr>
        <w:pStyle w:val="a9"/>
        <w:widowControl w:val="0"/>
        <w:shd w:val="clear" w:color="auto" w:fill="FFFFFF"/>
        <w:spacing w:before="0" w:beforeAutospacing="0" w:after="0" w:afterAutospacing="0" w:line="24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306A2B" w:rsidRDefault="00555BAF" w:rsidP="00555BAF">
      <w:pPr>
        <w:pStyle w:val="a9"/>
        <w:widowControl w:val="0"/>
        <w:shd w:val="clear" w:color="auto" w:fill="FFFFFF"/>
        <w:spacing w:before="0" w:beforeAutospacing="0" w:after="0" w:afterAutospacing="0" w:line="598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红旗区人民政府区长 刘宏锋</w:t>
      </w:r>
    </w:p>
    <w:p w:rsidR="00306A2B" w:rsidRDefault="00306A2B" w:rsidP="00555BAF">
      <w:pPr>
        <w:pStyle w:val="a9"/>
        <w:widowControl w:val="0"/>
        <w:shd w:val="clear" w:color="auto" w:fill="FFFFFF"/>
        <w:spacing w:before="0" w:beforeAutospacing="0" w:after="0" w:afterAutospacing="0" w:line="598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06A2B" w:rsidRDefault="00555BAF" w:rsidP="00555BAF">
      <w:pPr>
        <w:pStyle w:val="a9"/>
        <w:widowControl w:val="0"/>
        <w:shd w:val="clear" w:color="auto" w:fill="FFFFFF"/>
        <w:spacing w:before="0" w:beforeAutospacing="0" w:after="0" w:afterAutospacing="0" w:line="598" w:lineRule="exact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各位代表：</w:t>
      </w:r>
    </w:p>
    <w:p w:rsidR="00306A2B" w:rsidRDefault="00555BAF" w:rsidP="00555BAF">
      <w:pPr>
        <w:pStyle w:val="a9"/>
        <w:widowControl w:val="0"/>
        <w:shd w:val="clear" w:color="auto" w:fill="FFFFFF"/>
        <w:spacing w:before="0" w:beforeAutospacing="0" w:after="0" w:afterAutospacing="0" w:line="598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现在，我代表区人民政府，向大会报告工作，请予审议，并请各位政协委员和列席人员提出意见。</w:t>
      </w:r>
    </w:p>
    <w:p w:rsidR="00306A2B" w:rsidRDefault="00555BAF" w:rsidP="00555BAF">
      <w:pPr>
        <w:pStyle w:val="a9"/>
        <w:widowControl w:val="0"/>
        <w:shd w:val="clear" w:color="auto" w:fill="FFFFFF"/>
        <w:spacing w:beforeLines="40" w:before="124" w:beforeAutospacing="0" w:after="0" w:afterAutospacing="0" w:line="598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一、2019年工作回顾</w:t>
      </w:r>
    </w:p>
    <w:p w:rsidR="00306A2B" w:rsidRDefault="00555BAF" w:rsidP="00555BAF">
      <w:pPr>
        <w:pStyle w:val="a9"/>
        <w:widowControl w:val="0"/>
        <w:shd w:val="clear" w:color="auto" w:fill="FFFFFF"/>
        <w:spacing w:before="0" w:beforeAutospacing="0" w:after="0" w:afterAutospacing="0" w:line="598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2019年，我们深入贯彻习近平新时代中国特色社会主义思想，严格落实习近平总书记关于县域经济“三起来”和乡镇工作“三结合”重要指示精神，在市委、市政府和区委的坚强领导下，在区人大、区政协的监督支持下，坚持</w:t>
      </w:r>
      <w:r w:rsidR="007B2705">
        <w:rPr>
          <w:rFonts w:ascii="仿宋_GB2312" w:eastAsia="仿宋_GB2312" w:hAnsi="仿宋" w:cs="仿宋" w:hint="eastAsia"/>
          <w:sz w:val="32"/>
          <w:szCs w:val="32"/>
        </w:rPr>
        <w:t>围绕</w:t>
      </w:r>
      <w:r>
        <w:rPr>
          <w:rFonts w:ascii="仿宋_GB2312" w:eastAsia="仿宋_GB2312" w:hAnsi="仿宋" w:cs="仿宋" w:hint="eastAsia"/>
          <w:sz w:val="32"/>
          <w:szCs w:val="32"/>
        </w:rPr>
        <w:t>“两高一好”目标要求，以“三讲三强”活动为抓手，迎难而上、主动作为，产业结构更加合理，质量效益日益提升，发展活力不断增强，主要经济指标跑赢全市平均水平，各项事业都呈现出了好的态势、好的趋势和好的气势。</w:t>
      </w:r>
    </w:p>
    <w:p w:rsidR="00306A2B" w:rsidRDefault="00555BAF" w:rsidP="00555BAF">
      <w:pPr>
        <w:pStyle w:val="a9"/>
        <w:widowControl w:val="0"/>
        <w:shd w:val="clear" w:color="auto" w:fill="FFFFFF"/>
        <w:spacing w:before="0" w:beforeAutospacing="0" w:after="0" w:afterAutospacing="0" w:line="586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2019年全区一般公共预算收入9.6亿元，增幅17.7%，名列全省52个建制区第4，高于全市平均水平9.3个百分点；税占比达到92.4%，名列全省52个建制区第2，高于全市平均水平20.9个百分点。全区实现地区生产总值237.8亿元，同比增速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9.4%，名列全市第3，高于全市平均水平2.4个百分点；固定资产投资同比增速20%，高于全市平均水平8.7个百分点；第三产业增加值同比增速9.1%，名列全市第1，高于全市平均水平3.3个百分点；规模以上工业增加值同比增长11.6%，高于全市平均水平3.1个百分点；社会消费品零售总额同比增长11.2%，高于全市平均水平0.4个百分点。经济发展不仅实现了量的扩张，更实现了质的提升。</w:t>
      </w:r>
    </w:p>
    <w:p w:rsidR="00306A2B" w:rsidRDefault="00555BAF" w:rsidP="00555BAF">
      <w:pPr>
        <w:spacing w:line="586" w:lineRule="exact"/>
        <w:ind w:firstLineChars="200" w:firstLine="643"/>
        <w:rPr>
          <w:rFonts w:ascii="楷体_GB2312" w:eastAsia="仿宋_GB2312" w:hAnsi="仿宋"/>
          <w:b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kern w:val="0"/>
          <w:sz w:val="32"/>
          <w:szCs w:val="32"/>
        </w:rPr>
        <w:t>（一）三大攻坚取得新进展，发展基础更牢固。</w:t>
      </w:r>
      <w:r>
        <w:rPr>
          <w:rFonts w:ascii="仿宋_GB2312" w:eastAsia="仿宋_GB2312" w:hAnsi="仿宋" w:hint="eastAsia"/>
          <w:kern w:val="0"/>
          <w:sz w:val="32"/>
          <w:szCs w:val="32"/>
        </w:rPr>
        <w:t>坚持把打好三大攻坚战作为必须加固的经济底板、守牢的政治底线。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防范化解重大风险。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年处置非法集资兑付结案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起，兑付金额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4655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万元，“红旗处非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模式”在全省推广。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强化污染防治。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总结出“五步法”形成“双替代”红旗模式，全省餐饮油烟治理工作现场观摩会在我区召开。优良天数达标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196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天，同比增加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天，</w:t>
      </w:r>
      <w:r>
        <w:rPr>
          <w:rFonts w:ascii="仿宋_GB2312" w:eastAsia="仿宋_GB2312" w:hAnsi="Arial" w:cs="Arial"/>
          <w:kern w:val="0"/>
          <w:sz w:val="32"/>
          <w:szCs w:val="32"/>
        </w:rPr>
        <w:t>PM</w:t>
      </w:r>
      <w:r>
        <w:rPr>
          <w:rFonts w:ascii="仿宋_GB2312" w:eastAsia="仿宋_GB2312" w:hAnsi="Arial" w:cs="Arial"/>
          <w:kern w:val="0"/>
          <w:sz w:val="32"/>
          <w:szCs w:val="32"/>
          <w:vertAlign w:val="subscript"/>
        </w:rPr>
        <w:t>10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>
        <w:rPr>
          <w:rFonts w:ascii="仿宋_GB2312" w:eastAsia="仿宋_GB2312" w:hAnsi="Arial" w:cs="Arial"/>
          <w:kern w:val="0"/>
          <w:sz w:val="32"/>
          <w:szCs w:val="32"/>
        </w:rPr>
        <w:t>PM</w:t>
      </w:r>
      <w:r>
        <w:rPr>
          <w:rFonts w:ascii="仿宋_GB2312" w:eastAsia="仿宋_GB2312" w:hAnsi="Arial" w:cs="Arial"/>
          <w:kern w:val="0"/>
          <w:sz w:val="32"/>
          <w:szCs w:val="32"/>
          <w:vertAlign w:val="subscript"/>
        </w:rPr>
        <w:t>2.5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等各项指标均有所改善，大气污染防治和水污染防治工作居全市前3，获得全市唯一的全省大气污染防治工作特殊贡献奖。</w:t>
      </w:r>
      <w:r>
        <w:rPr>
          <w:rFonts w:ascii="仿宋_GB2312" w:eastAsia="仿宋_GB2312" w:hAnsi="楷体_GB2312" w:cs="楷体_GB2312" w:hint="eastAsia"/>
          <w:b/>
          <w:kern w:val="0"/>
          <w:sz w:val="32"/>
          <w:szCs w:val="32"/>
          <w:shd w:val="clear" w:color="auto" w:fill="FFFFFF"/>
        </w:rPr>
        <w:t>做好扶弱帮困。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排查</w:t>
      </w:r>
      <w:r>
        <w:rPr>
          <w:rFonts w:ascii="仿宋_GB2312" w:eastAsia="仿宋_GB2312" w:hint="eastAsia"/>
          <w:kern w:val="0"/>
          <w:sz w:val="32"/>
          <w:szCs w:val="32"/>
        </w:rPr>
        <w:t>六类边缘户4</w:t>
      </w:r>
      <w:r>
        <w:rPr>
          <w:rFonts w:ascii="仿宋_GB2312" w:eastAsia="仿宋_GB2312"/>
          <w:kern w:val="0"/>
          <w:sz w:val="32"/>
          <w:szCs w:val="32"/>
        </w:rPr>
        <w:t>89</w:t>
      </w:r>
      <w:r>
        <w:rPr>
          <w:rFonts w:ascii="仿宋_GB2312" w:eastAsia="仿宋_GB2312" w:hint="eastAsia"/>
          <w:kern w:val="0"/>
          <w:sz w:val="32"/>
          <w:szCs w:val="32"/>
        </w:rPr>
        <w:t>户</w:t>
      </w:r>
      <w:r>
        <w:rPr>
          <w:rFonts w:ascii="仿宋_GB2312" w:eastAsia="仿宋_GB2312"/>
          <w:kern w:val="0"/>
          <w:sz w:val="32"/>
          <w:szCs w:val="32"/>
        </w:rPr>
        <w:t>1283</w:t>
      </w:r>
      <w:r>
        <w:rPr>
          <w:rFonts w:ascii="仿宋_GB2312" w:eastAsia="仿宋_GB2312" w:hint="eastAsia"/>
          <w:kern w:val="0"/>
          <w:sz w:val="32"/>
          <w:szCs w:val="32"/>
        </w:rPr>
        <w:t>人，实现精准帮扶。</w:t>
      </w:r>
    </w:p>
    <w:p w:rsidR="00306A2B" w:rsidRDefault="00555BAF" w:rsidP="00555BAF">
      <w:pPr>
        <w:spacing w:line="57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kern w:val="0"/>
          <w:sz w:val="32"/>
          <w:szCs w:val="32"/>
        </w:rPr>
        <w:t>（二）招商引资和项目建设实现新突破，产业结构更合理。</w:t>
      </w:r>
      <w:r>
        <w:rPr>
          <w:rFonts w:ascii="仿宋_GB2312" w:eastAsia="仿宋_GB2312" w:hAnsi="仿宋" w:hint="eastAsia"/>
          <w:kern w:val="0"/>
          <w:sz w:val="32"/>
          <w:szCs w:val="32"/>
        </w:rPr>
        <w:t>坚持把招商引资和项目建设作为促进经济发展的“牛鼻子”，三次产业结构比1:22:77，结构更趋优化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40"/>
        </w:rPr>
        <w:t>。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开放招商势头强劲。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全年实施重点项目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项，完成投资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176.7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亿元；新签约项目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93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个，落地开工项目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3个；实际到位外资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8478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万美元、内资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亿元。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现代服务业加速集聚。</w:t>
      </w:r>
      <w:r>
        <w:rPr>
          <w:rFonts w:ascii="仿宋_GB2312" w:eastAsia="仿宋_GB2312"/>
          <w:kern w:val="0"/>
          <w:sz w:val="32"/>
          <w:szCs w:val="32"/>
          <w:shd w:val="clear" w:color="auto" w:fill="FFFFFF"/>
        </w:rPr>
        <w:t>特色楼宇入驻企业达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789家，平安财险税收超1亿元，</w:t>
      </w:r>
      <w:r>
        <w:rPr>
          <w:rFonts w:ascii="仿宋_GB2312" w:eastAsia="仿宋_GB2312"/>
          <w:kern w:val="0"/>
          <w:sz w:val="32"/>
          <w:szCs w:val="32"/>
          <w:shd w:val="clear" w:color="auto" w:fill="FFFFFF"/>
        </w:rPr>
        <w:t>企业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属地</w:t>
      </w:r>
      <w:r>
        <w:rPr>
          <w:rFonts w:ascii="仿宋_GB2312" w:eastAsia="仿宋_GB2312"/>
          <w:kern w:val="0"/>
          <w:sz w:val="32"/>
          <w:szCs w:val="32"/>
          <w:shd w:val="clear" w:color="auto" w:fill="FFFFFF"/>
        </w:rPr>
        <w:t>注册率提升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14个百分点，税收贡献同比增长15.</w:t>
      </w:r>
      <w:r w:rsidR="00AE0409"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%，</w:t>
      </w:r>
      <w:r>
        <w:rPr>
          <w:rFonts w:ascii="仿宋_GB2312" w:eastAsia="仿宋_GB2312"/>
          <w:kern w:val="0"/>
          <w:sz w:val="32"/>
          <w:szCs w:val="32"/>
          <w:shd w:val="clear" w:color="auto" w:fill="FFFFFF"/>
        </w:rPr>
        <w:t>创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历史</w:t>
      </w:r>
      <w:r>
        <w:rPr>
          <w:rFonts w:ascii="仿宋_GB2312" w:eastAsia="仿宋_GB2312"/>
          <w:kern w:val="0"/>
          <w:sz w:val="32"/>
          <w:szCs w:val="32"/>
          <w:shd w:val="clear" w:color="auto" w:fill="FFFFFF"/>
        </w:rPr>
        <w:t>新高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特色商业区入库企业</w:t>
      </w:r>
      <w:r>
        <w:rPr>
          <w:rFonts w:ascii="仿宋_GB2312" w:eastAsia="仿宋_GB2312" w:cs="仿宋_GB2312"/>
          <w:bCs/>
          <w:kern w:val="0"/>
          <w:sz w:val="32"/>
          <w:szCs w:val="32"/>
        </w:rPr>
        <w:t>172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家，数量居全市第1，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服务业区级税收贡献达3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3.1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%。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人力资源产业园税收产出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/</w:t>
      </w:r>
      <w:r>
        <w:rPr>
          <w:rFonts w:hint="eastAsia"/>
          <w:kern w:val="0"/>
          <w:sz w:val="32"/>
          <w:szCs w:val="32"/>
        </w:rPr>
        <w:t>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，全年税收突破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亿元，受到市委市政府表扬。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先进制造业提档升级。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中德产业园实现当年签约、</w:t>
      </w:r>
      <w:r>
        <w:rPr>
          <w:rFonts w:ascii="仿宋_GB2312" w:eastAsia="仿宋_GB2312" w:hAnsi="楷体" w:cs="楷体" w:hint="eastAsia"/>
          <w:bCs/>
          <w:kern w:val="0"/>
          <w:sz w:val="32"/>
          <w:szCs w:val="32"/>
        </w:rPr>
        <w:t>当年落地、当年开工。新东光电专业园标准厂房陆续</w:t>
      </w:r>
      <w:r>
        <w:rPr>
          <w:rFonts w:ascii="仿宋_GB2312" w:eastAsia="仿宋_GB2312" w:hAnsi="楷体" w:cs="楷体"/>
          <w:bCs/>
          <w:kern w:val="0"/>
          <w:sz w:val="32"/>
          <w:szCs w:val="32"/>
        </w:rPr>
        <w:t>建成</w:t>
      </w:r>
      <w:r>
        <w:rPr>
          <w:rFonts w:ascii="仿宋_GB2312" w:eastAsia="仿宋_GB2312" w:hAnsi="楷体" w:cs="楷体" w:hint="eastAsia"/>
          <w:bCs/>
          <w:kern w:val="0"/>
          <w:sz w:val="32"/>
          <w:szCs w:val="32"/>
        </w:rPr>
        <w:t>，百合光电开始入驻。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北方仪表</w:t>
      </w:r>
      <w:r>
        <w:rPr>
          <w:rFonts w:ascii="仿宋_GB2312" w:eastAsia="仿宋_GB2312" w:hint="eastAsia"/>
          <w:kern w:val="0"/>
          <w:sz w:val="32"/>
          <w:szCs w:val="32"/>
        </w:rPr>
        <w:t>、河一工、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日升数控等工业企业保持良好发展态势。全区工业企业</w:t>
      </w:r>
      <w:r>
        <w:rPr>
          <w:rFonts w:ascii="仿宋_GB2312" w:eastAsia="仿宋_GB2312" w:hAnsi="楷体" w:cs="楷体" w:hint="eastAsia"/>
          <w:bCs/>
          <w:kern w:val="0"/>
          <w:sz w:val="32"/>
          <w:szCs w:val="32"/>
        </w:rPr>
        <w:t>“三大改造”各类指标完成进度均居全市前列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。“四上”企业入库总量全市排名第3。</w:t>
      </w:r>
    </w:p>
    <w:p w:rsidR="00306A2B" w:rsidRDefault="00555BAF" w:rsidP="00555BAF">
      <w:pPr>
        <w:spacing w:line="570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kern w:val="0"/>
          <w:sz w:val="32"/>
          <w:szCs w:val="32"/>
        </w:rPr>
        <w:t>（三）改革开放迈出新步伐，区域活力更强劲。</w:t>
      </w:r>
      <w:r>
        <w:rPr>
          <w:rFonts w:ascii="仿宋_GB2312" w:eastAsia="仿宋_GB2312" w:hAnsi="仿宋" w:hint="eastAsia"/>
          <w:kern w:val="0"/>
          <w:sz w:val="32"/>
          <w:szCs w:val="32"/>
        </w:rPr>
        <w:t>坚持用好改革这一法宝，在开放中释放活力。“放管服”改革成效明显，办理时限压缩65</w:t>
      </w:r>
      <w:r>
        <w:rPr>
          <w:rFonts w:ascii="仿宋_GB2312" w:eastAsia="仿宋_GB2312" w:hAnsi="仿宋"/>
          <w:kern w:val="0"/>
          <w:sz w:val="32"/>
          <w:szCs w:val="32"/>
        </w:rPr>
        <w:t>%</w:t>
      </w:r>
      <w:r>
        <w:rPr>
          <w:rFonts w:ascii="仿宋_GB2312" w:eastAsia="仿宋_GB2312" w:hAnsi="仿宋" w:hint="eastAsia"/>
          <w:kern w:val="0"/>
          <w:sz w:val="32"/>
          <w:szCs w:val="32"/>
        </w:rPr>
        <w:t>以上。为企业减税降费2.9亿元。</w:t>
      </w:r>
      <w:r>
        <w:rPr>
          <w:rFonts w:ascii="仿宋_GB2312" w:eastAsia="仿宋_GB2312" w:hint="eastAsia"/>
          <w:kern w:val="0"/>
          <w:sz w:val="32"/>
          <w:szCs w:val="32"/>
        </w:rPr>
        <w:t>新东区“三制改革”不断深化，全年签约项目是改革前的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ascii="仿宋_GB2312" w:eastAsia="仿宋_GB2312" w:hint="eastAsia"/>
          <w:kern w:val="0"/>
          <w:sz w:val="32"/>
          <w:szCs w:val="32"/>
        </w:rPr>
        <w:t>倍，启动一星级产业集聚区申报。新东投资公司与嵩山资本合作成立产业基金。红旗“</w:t>
      </w:r>
      <w:r>
        <w:rPr>
          <w:rFonts w:ascii="仿宋_GB2312" w:eastAsia="仿宋_GB2312"/>
          <w:kern w:val="0"/>
          <w:sz w:val="32"/>
          <w:szCs w:val="32"/>
        </w:rPr>
        <w:t>e</w:t>
      </w:r>
      <w:r>
        <w:rPr>
          <w:rFonts w:ascii="仿宋_GB2312" w:eastAsia="仿宋_GB2312" w:hint="eastAsia"/>
          <w:kern w:val="0"/>
          <w:sz w:val="32"/>
          <w:szCs w:val="32"/>
        </w:rPr>
        <w:t>岗通”“马上办”服务平台受省市领导和群众好评。</w:t>
      </w:r>
      <w:r>
        <w:rPr>
          <w:rFonts w:ascii="仿宋_GB2312" w:eastAsia="仿宋_GB2312" w:hAnsi="仿宋" w:hint="eastAsia"/>
          <w:kern w:val="0"/>
          <w:sz w:val="32"/>
          <w:szCs w:val="32"/>
        </w:rPr>
        <w:t>国家863科技产业园等自创区“四个一批”项目建设稳步推进，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芯睿</w:t>
      </w:r>
      <w:r>
        <w:rPr>
          <w:rFonts w:ascii="仿宋_GB2312" w:eastAsia="仿宋_GB2312" w:hAnsi="仿宋" w:cs="楷体"/>
          <w:bCs/>
          <w:kern w:val="0"/>
          <w:sz w:val="32"/>
          <w:szCs w:val="32"/>
        </w:rPr>
        <w:t>MEMS</w:t>
      </w:r>
      <w:r>
        <w:rPr>
          <w:rFonts w:ascii="仿宋_GB2312" w:eastAsia="仿宋_GB2312" w:hAnsi="仿宋" w:cs="楷体" w:hint="eastAsia"/>
          <w:bCs/>
          <w:kern w:val="0"/>
          <w:sz w:val="32"/>
          <w:szCs w:val="32"/>
        </w:rPr>
        <w:t>中试基地建设项目进展顺利，</w:t>
      </w:r>
      <w:r>
        <w:rPr>
          <w:rFonts w:ascii="仿宋_GB2312" w:eastAsia="仿宋_GB2312" w:hint="eastAsia"/>
          <w:kern w:val="0"/>
          <w:sz w:val="32"/>
          <w:szCs w:val="32"/>
        </w:rPr>
        <w:t>百合光电高精光刻光源技术国内领先、国际一流</w:t>
      </w:r>
      <w:r>
        <w:rPr>
          <w:rFonts w:ascii="仿宋_GB2312" w:eastAsia="仿宋_GB2312" w:hAnsi="仿宋" w:hint="eastAsia"/>
          <w:kern w:val="0"/>
          <w:sz w:val="32"/>
          <w:szCs w:val="32"/>
        </w:rPr>
        <w:t>。在全市率先实施“普升科”“科升高”“高企提升”科技倍增计划，万新电气等18家</w:t>
      </w:r>
      <w:r>
        <w:rPr>
          <w:rFonts w:ascii="仿宋_GB2312" w:eastAsia="仿宋_GB2312" w:hint="eastAsia"/>
          <w:kern w:val="0"/>
          <w:sz w:val="32"/>
          <w:szCs w:val="32"/>
        </w:rPr>
        <w:t>高新技术企业提速发展。培育引进高层次团队2个，拔尖人</w:t>
      </w:r>
      <w:r>
        <w:rPr>
          <w:rFonts w:ascii="仿宋_GB2312" w:eastAsia="仿宋_GB2312" w:hAnsi="仿宋" w:hint="eastAsia"/>
          <w:kern w:val="0"/>
          <w:sz w:val="32"/>
          <w:szCs w:val="32"/>
        </w:rPr>
        <w:t>才7人，居全市第2；省级新型研发机构达3家，居全市第1；技术合同交易额</w:t>
      </w:r>
      <w:r>
        <w:rPr>
          <w:rFonts w:ascii="仿宋_GB2312" w:eastAsia="仿宋_GB2312" w:hint="eastAsia"/>
          <w:kern w:val="0"/>
          <w:sz w:val="32"/>
          <w:szCs w:val="32"/>
        </w:rPr>
        <w:t>完成2.8亿元，居全市第1。</w:t>
      </w:r>
    </w:p>
    <w:p w:rsidR="00306A2B" w:rsidRDefault="00555BAF" w:rsidP="00555BAF">
      <w:pPr>
        <w:spacing w:line="598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kern w:val="0"/>
          <w:sz w:val="32"/>
          <w:szCs w:val="32"/>
        </w:rPr>
        <w:lastRenderedPageBreak/>
        <w:t>（四）城乡建设呈现新面貌，生活环境更宜居。</w:t>
      </w:r>
      <w:r>
        <w:rPr>
          <w:rFonts w:ascii="仿宋_GB2312" w:eastAsia="仿宋_GB2312" w:hAnsi="仿宋" w:hint="eastAsia"/>
          <w:kern w:val="0"/>
          <w:sz w:val="32"/>
          <w:szCs w:val="32"/>
        </w:rPr>
        <w:t>坚持百城提质和乡村振兴统筹推进，把城区和乡村贯通起来协同发展。</w:t>
      </w:r>
      <w:r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百城提质成绩斐然。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西大街区</w:t>
      </w:r>
      <w:r w:rsidRPr="00555BAF">
        <w:rPr>
          <w:rFonts w:ascii="仿宋_GB2312" w:eastAsia="仿宋_GB2312" w:hAnsi="仿宋" w:hint="eastAsia"/>
          <w:bCs/>
          <w:spacing w:val="-4"/>
          <w:kern w:val="0"/>
          <w:sz w:val="32"/>
          <w:szCs w:val="32"/>
        </w:rPr>
        <w:t>域和三分区等16个老旧小区顺利完成提升改造，在全省观摩中受到省政府主要领导充分肯定</w:t>
      </w:r>
      <w:r w:rsidRPr="00555BAF">
        <w:rPr>
          <w:rFonts w:ascii="仿宋_GB2312" w:eastAsia="仿宋_GB2312" w:hAnsi="仿宋_GB2312" w:cs="仿宋_GB2312" w:hint="eastAsia"/>
          <w:bCs/>
          <w:spacing w:val="-4"/>
          <w:kern w:val="0"/>
          <w:sz w:val="32"/>
          <w:szCs w:val="32"/>
        </w:rPr>
        <w:t>；既有节能改造超任务</w:t>
      </w:r>
      <w:r w:rsidRPr="00555BAF">
        <w:rPr>
          <w:rFonts w:ascii="仿宋_GB2312" w:eastAsia="仿宋_GB2312" w:hAnsi="仿宋"/>
          <w:spacing w:val="-4"/>
          <w:kern w:val="0"/>
          <w:sz w:val="32"/>
          <w:szCs w:val="32"/>
        </w:rPr>
        <w:t>50</w:t>
      </w:r>
      <w:r w:rsidRPr="00555BAF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万</w:t>
      </w:r>
      <w:r w:rsidRPr="00555BAF">
        <w:rPr>
          <w:rFonts w:ascii="Segoe UI Symbol" w:eastAsia="仿宋_GB2312" w:hAnsi="Segoe UI Symbol" w:cs="Segoe UI Symbol"/>
          <w:spacing w:val="-4"/>
          <w:kern w:val="0"/>
          <w:sz w:val="32"/>
          <w:szCs w:val="32"/>
        </w:rPr>
        <w:t>㎡</w:t>
      </w:r>
      <w:r w:rsidRPr="00555BAF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，全市排名第1；新建游园16个，增绿补绿面积3.5万</w:t>
      </w:r>
      <w:r w:rsidRPr="00555BAF">
        <w:rPr>
          <w:rFonts w:ascii="Segoe UI Symbol" w:eastAsia="仿宋_GB2312" w:hAnsi="Segoe UI Symbol" w:cs="Segoe UI Symbol"/>
          <w:spacing w:val="-4"/>
          <w:kern w:val="0"/>
          <w:sz w:val="32"/>
          <w:szCs w:val="32"/>
        </w:rPr>
        <w:t>㎡</w:t>
      </w:r>
      <w:r w:rsidRPr="00555BAF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；</w:t>
      </w:r>
      <w:r w:rsidRPr="00555BAF"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</w:rPr>
        <w:t>顺利完成高速廊道绿化市定目标；</w:t>
      </w:r>
      <w:r w:rsidRPr="00555BAF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汽车东站新址建设项目全面启动。</w:t>
      </w:r>
      <w:r w:rsidRPr="00555BAF">
        <w:rPr>
          <w:rFonts w:ascii="仿宋_GB2312" w:eastAsia="仿宋_GB2312" w:hAnsi="仿宋_GB2312" w:cs="仿宋_GB2312" w:hint="eastAsia"/>
          <w:spacing w:val="-4"/>
          <w:kern w:val="0"/>
          <w:sz w:val="32"/>
          <w:szCs w:val="40"/>
        </w:rPr>
        <w:t>顺利通过国家卫生城市、全国文明城市验收。</w:t>
      </w:r>
      <w:r w:rsidRPr="00555BAF">
        <w:rPr>
          <w:rFonts w:ascii="仿宋_GB2312" w:eastAsia="仿宋_GB2312" w:hAnsi="仿宋" w:hint="eastAsia"/>
          <w:b/>
          <w:spacing w:val="-4"/>
          <w:kern w:val="0"/>
          <w:sz w:val="32"/>
          <w:szCs w:val="32"/>
        </w:rPr>
        <w:t>两改项目稳步推进。</w:t>
      </w:r>
      <w:r w:rsidRPr="00555BAF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全年项目完成征收69.3万㎡，投资76亿元，征收工作全市领先；平东、文化桥东等7个省台账项目进展顺利；“两改”审计工</w:t>
      </w:r>
      <w:r w:rsidRPr="00555BAF">
        <w:rPr>
          <w:rFonts w:ascii="仿宋_GB2312" w:eastAsia="仿宋_GB2312" w:hAnsi="仿宋"/>
          <w:spacing w:val="-4"/>
          <w:kern w:val="0"/>
          <w:sz w:val="32"/>
          <w:szCs w:val="32"/>
        </w:rPr>
        <w:t>作</w:t>
      </w:r>
      <w:r w:rsidRPr="00555BAF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排名全市</w:t>
      </w:r>
      <w:r w:rsidRPr="00555BAF">
        <w:rPr>
          <w:rFonts w:ascii="仿宋_GB2312" w:eastAsia="仿宋_GB2312" w:hAnsi="仿宋"/>
          <w:spacing w:val="-4"/>
          <w:kern w:val="0"/>
          <w:sz w:val="32"/>
          <w:szCs w:val="32"/>
        </w:rPr>
        <w:t>第</w:t>
      </w:r>
      <w:r w:rsidRPr="00555BAF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1。</w:t>
      </w:r>
      <w:r w:rsidRPr="00555BAF">
        <w:rPr>
          <w:rFonts w:ascii="仿宋_GB2312" w:eastAsia="仿宋_GB2312" w:hAnsi="仿宋" w:hint="eastAsia"/>
          <w:b/>
          <w:bCs/>
          <w:spacing w:val="-4"/>
          <w:kern w:val="0"/>
          <w:sz w:val="32"/>
          <w:szCs w:val="32"/>
        </w:rPr>
        <w:t>“三农”工作走在前列。</w:t>
      </w:r>
      <w:r w:rsidRPr="00555BAF"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</w:rPr>
        <w:t>农村五项重点改革工作全市领先；</w:t>
      </w:r>
      <w:r w:rsidRPr="00555BAF">
        <w:rPr>
          <w:rFonts w:ascii="仿宋_GB2312" w:eastAsia="仿宋_GB2312" w:hAnsi="仿宋_GB2312" w:cs="仿宋_GB2312"/>
          <w:spacing w:val="-4"/>
          <w:kern w:val="0"/>
          <w:sz w:val="32"/>
          <w:szCs w:val="32"/>
        </w:rPr>
        <w:t>乡村振兴考核</w:t>
      </w:r>
      <w:r w:rsidRPr="00555BAF"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</w:rPr>
        <w:t>位列市区</w:t>
      </w:r>
      <w:r w:rsidRPr="00555BAF">
        <w:rPr>
          <w:rFonts w:ascii="仿宋_GB2312" w:eastAsia="仿宋_GB2312" w:hAnsi="仿宋_GB2312" w:cs="仿宋_GB2312"/>
          <w:spacing w:val="-4"/>
          <w:kern w:val="0"/>
          <w:sz w:val="32"/>
          <w:szCs w:val="32"/>
        </w:rPr>
        <w:t>第</w:t>
      </w:r>
      <w:r w:rsidRPr="00555BAF"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</w:rPr>
        <w:t>1</w:t>
      </w:r>
      <w:r w:rsidRPr="00555BAF">
        <w:rPr>
          <w:rFonts w:ascii="仿宋_GB2312" w:eastAsia="仿宋_GB2312" w:hAnsi="仿宋_GB2312" w:cs="仿宋_GB2312"/>
          <w:spacing w:val="-4"/>
          <w:kern w:val="0"/>
          <w:sz w:val="32"/>
          <w:szCs w:val="32"/>
        </w:rPr>
        <w:t>。</w:t>
      </w:r>
    </w:p>
    <w:p w:rsidR="00306A2B" w:rsidRDefault="00555BAF" w:rsidP="00555BAF">
      <w:pPr>
        <w:spacing w:line="598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kern w:val="0"/>
          <w:sz w:val="32"/>
          <w:szCs w:val="32"/>
        </w:rPr>
        <w:t>（五）民生福祉得到新提升，共享成果更暖心。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全年各项民生支出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11.4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亿元，占一般公共预算支出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81.</w:t>
      </w:r>
      <w:r w:rsidR="00AE0409"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40"/>
        </w:rPr>
        <w:t>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教育支出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亿元，同比增长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39.4%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40"/>
        </w:rPr>
        <w:t>新建留庄营社区幼儿园和公村小学，改建小店镇初级中学；31所中小学开展课后延时服务；青少年活动网格体系初步成形。妇女“两癌”筛查、产前筛查和新生儿疾病筛查均超额完成目标；公共卫生基础设施体系和家庭医生制度日趋完善；红旗医院及公共卫生服务中心建设项目有序推进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社会保障和就业支出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1.35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亿元，同比增长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27%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；城镇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新增就业人数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10746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城镇新增就业、城镇失业人员和就业困难人员就业再就业均超额完成任务。“平安红旗”建设深入推进，我区201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年度公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众安全感满意度位列全省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157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个县区第2，创历史最好成绩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；</w:t>
      </w: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信访稳定工作机制、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诉调对接体系日趋完善；安全生产、食品药品安全、消防安全整体形势平稳向好</w:t>
      </w:r>
      <w:r>
        <w:rPr>
          <w:rFonts w:ascii="仿宋_GB2312" w:eastAsia="仿宋_GB2312" w:hAnsi="仿宋" w:hint="eastAsia"/>
          <w:kern w:val="0"/>
          <w:sz w:val="32"/>
          <w:szCs w:val="32"/>
        </w:rPr>
        <w:t>。全年征兵280人</w:t>
      </w:r>
      <w:r>
        <w:rPr>
          <w:rFonts w:ascii="仿宋_GB2312" w:eastAsia="仿宋_GB2312" w:hAnsi="仿宋"/>
          <w:kern w:val="0"/>
          <w:sz w:val="32"/>
          <w:szCs w:val="32"/>
        </w:rPr>
        <w:t>，征兵率</w:t>
      </w:r>
      <w:r>
        <w:rPr>
          <w:rFonts w:ascii="仿宋_GB2312" w:eastAsia="仿宋_GB2312" w:hAnsi="仿宋" w:hint="eastAsia"/>
          <w:kern w:val="0"/>
          <w:sz w:val="32"/>
          <w:szCs w:val="32"/>
        </w:rPr>
        <w:t>位居</w:t>
      </w:r>
      <w:r>
        <w:rPr>
          <w:rFonts w:ascii="仿宋_GB2312" w:eastAsia="仿宋_GB2312" w:hAnsi="仿宋"/>
          <w:kern w:val="0"/>
          <w:sz w:val="32"/>
          <w:szCs w:val="32"/>
        </w:rPr>
        <w:t>全市前列。扫黑除恶</w:t>
      </w:r>
      <w:r>
        <w:rPr>
          <w:rFonts w:ascii="仿宋_GB2312" w:eastAsia="仿宋_GB2312" w:hAnsi="仿宋" w:hint="eastAsia"/>
          <w:kern w:val="0"/>
          <w:sz w:val="32"/>
          <w:szCs w:val="32"/>
        </w:rPr>
        <w:t>、退役军人、民族宗教、爱国卫生、文化体育、史志档案、工青妇联、统战、科协、统计等工作稳步推进。</w:t>
      </w:r>
    </w:p>
    <w:p w:rsidR="00306A2B" w:rsidRDefault="00555BAF" w:rsidP="00555BAF">
      <w:pPr>
        <w:spacing w:line="598" w:lineRule="exact"/>
        <w:ind w:firstLineChars="200" w:firstLine="643"/>
        <w:rPr>
          <w:rFonts w:ascii="楷体_GB2312" w:eastAsia="楷体_GB2312" w:hAnsi="仿宋"/>
          <w:b/>
          <w:kern w:val="0"/>
          <w:sz w:val="32"/>
          <w:szCs w:val="32"/>
        </w:rPr>
      </w:pPr>
      <w:r>
        <w:rPr>
          <w:rFonts w:ascii="楷体_GB2312" w:eastAsia="楷体_GB2312" w:hAnsi="仿宋" w:hint="eastAsia"/>
          <w:b/>
          <w:kern w:val="0"/>
          <w:sz w:val="32"/>
          <w:szCs w:val="32"/>
        </w:rPr>
        <w:t>（六）全面履职树立新形象，工作作风更扎实。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深入开展“不忘初心、牢记使命”主题教育，持续推进“敢转争”活动，深化拓展“三讲三强”活动。严格落实中央八项规定精神，</w:t>
      </w:r>
      <w:r>
        <w:rPr>
          <w:rFonts w:ascii="仿宋_GB2312" w:eastAsia="仿宋_GB2312" w:hint="eastAsia"/>
          <w:kern w:val="0"/>
          <w:sz w:val="32"/>
          <w:szCs w:val="32"/>
        </w:rPr>
        <w:t>纠治“四风”，为基层松绑减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负，全年精简会议61.</w:t>
      </w:r>
      <w:r w:rsidR="00AE0409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%，压缩文件44.9%。政府系统党风廉政建设全面加强，慵懒散慢拖等干部作风问题得到有效整治。财政预决算全面公开，审计监督和效能监察不断加强。行政执法责任制全面落实，法治政府建设迈上新台阶。自觉接受人大及其常委会监督、政协民主监督，全年共办结人大建议和政协提案121条，政府公信力和工作效能明显提升。</w:t>
      </w:r>
    </w:p>
    <w:p w:rsidR="00306A2B" w:rsidRDefault="00555BAF" w:rsidP="00555BAF">
      <w:pPr>
        <w:spacing w:line="598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40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各位代表！</w:t>
      </w:r>
      <w:r>
        <w:rPr>
          <w:rFonts w:ascii="仿宋_GB2312" w:eastAsia="仿宋_GB2312"/>
          <w:kern w:val="0"/>
          <w:sz w:val="32"/>
          <w:szCs w:val="32"/>
        </w:rPr>
        <w:t>面对</w:t>
      </w:r>
      <w:r>
        <w:rPr>
          <w:rFonts w:ascii="仿宋_GB2312" w:eastAsia="仿宋_GB2312" w:hint="eastAsia"/>
          <w:kern w:val="0"/>
          <w:sz w:val="32"/>
          <w:szCs w:val="32"/>
        </w:rPr>
        <w:t>突如其来的新冠肺炎疫情，我们深入贯彻习近平总书记重要讲话指示精神，在中央、省、市和区委坚强领导下，同时间赛跑、与病魔较量，迅速推动防控资源和力量下沉，对辖区15.2万户、45万人进行地毯式排查，设置居家观察集中隔离区域56处、集中隔离点9个，累计集中封闭887户2438人，有效防止疫情蔓延扩散。动态优化防疫卡点397个，协同市直部门，组织</w:t>
      </w:r>
      <w:r>
        <w:rPr>
          <w:rFonts w:ascii="仿宋_GB2312" w:eastAsia="仿宋_GB2312" w:hAnsi="仿宋_GB2312" w:cs="仿宋_GB2312" w:hint="eastAsia"/>
          <w:kern w:val="0"/>
          <w:sz w:val="32"/>
          <w:szCs w:val="40"/>
        </w:rPr>
        <w:t>辖区262个文明单位和驻区单位1600余名工作人员，</w:t>
      </w:r>
      <w:r>
        <w:rPr>
          <w:rFonts w:ascii="仿宋_GB2312" w:eastAsia="仿宋_GB2312" w:hAnsi="仿宋_GB2312" w:cs="仿宋_GB2312" w:hint="eastAsia"/>
          <w:kern w:val="0"/>
          <w:sz w:val="32"/>
          <w:szCs w:val="40"/>
        </w:rPr>
        <w:lastRenderedPageBreak/>
        <w:t>以及各镇（办）、区直单位和辖区群众1.2万余人下沉社区参与防疫。</w:t>
      </w:r>
      <w:r>
        <w:rPr>
          <w:rFonts w:ascii="仿宋_GB2312" w:eastAsia="仿宋_GB2312" w:hint="eastAsia"/>
          <w:kern w:val="0"/>
          <w:sz w:val="32"/>
          <w:szCs w:val="32"/>
        </w:rPr>
        <w:t>先后拨付</w:t>
      </w:r>
      <w:r>
        <w:rPr>
          <w:rFonts w:ascii="仿宋_GB2312" w:eastAsia="仿宋_GB2312" w:hAnsi="仿宋_GB2312" w:cs="仿宋_GB2312" w:hint="eastAsia"/>
          <w:kern w:val="0"/>
          <w:sz w:val="32"/>
          <w:szCs w:val="40"/>
        </w:rPr>
        <w:t>疫情防控专款700万元，东安集团、诚城集团等社会各界主动捐款454万元，</w:t>
      </w:r>
      <w:r>
        <w:rPr>
          <w:rFonts w:ascii="仿宋_GB2312" w:eastAsia="仿宋_GB2312" w:hint="eastAsia"/>
          <w:kern w:val="0"/>
          <w:sz w:val="32"/>
          <w:szCs w:val="32"/>
        </w:rPr>
        <w:t>全面提升检测诊断医疗救治、物资保障能力。</w:t>
      </w:r>
      <w:r>
        <w:rPr>
          <w:rFonts w:ascii="仿宋_GB2312" w:eastAsia="仿宋_GB2312" w:hAnsi="仿宋_GB2312" w:cs="仿宋_GB2312" w:hint="eastAsia"/>
          <w:kern w:val="0"/>
          <w:sz w:val="32"/>
          <w:szCs w:val="40"/>
        </w:rPr>
        <w:t>抽调许强等4名医护人员赴鄂援助，为武汉重启贡献红旗力量。开展金融扫街活动，为河南新医等企业协调帮扶资金16亿元，防控工作和</w:t>
      </w:r>
      <w:r>
        <w:rPr>
          <w:rFonts w:ascii="仿宋_GB2312" w:eastAsia="仿宋_GB2312" w:hint="eastAsia"/>
          <w:kern w:val="0"/>
          <w:sz w:val="32"/>
          <w:szCs w:val="32"/>
        </w:rPr>
        <w:t>复工复产取得重要阶段性成效。</w:t>
      </w:r>
    </w:p>
    <w:p w:rsidR="00306A2B" w:rsidRDefault="00555BAF" w:rsidP="00555BAF">
      <w:pPr>
        <w:spacing w:line="598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奋斗充满艰辛，成绩催人奋进。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一年多来，</w:t>
      </w:r>
      <w:r>
        <w:rPr>
          <w:rFonts w:ascii="仿宋_GB2312" w:eastAsia="仿宋_GB2312" w:hAnsi="微软雅黑" w:hint="eastAsia"/>
          <w:kern w:val="0"/>
          <w:sz w:val="32"/>
          <w:szCs w:val="32"/>
          <w:shd w:val="clear" w:color="auto" w:fill="FFFFFF"/>
        </w:rPr>
        <w:t>在困难和压力超出预期的情况下，我们保持发展定力，坚定发展信心，强化发展举措，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各项工作取得优异成绩，先后获得全省教育宣传先进区等省级荣誉10项，全市重点项目建设及投资工作先进单位等市级荣誉39项。</w:t>
      </w:r>
      <w:r>
        <w:rPr>
          <w:rFonts w:ascii="仿宋_GB2312" w:eastAsia="仿宋_GB2312" w:hint="eastAsia"/>
          <w:kern w:val="0"/>
          <w:sz w:val="32"/>
          <w:szCs w:val="32"/>
        </w:rPr>
        <w:t>这些成绩，既</w:t>
      </w:r>
      <w:r>
        <w:rPr>
          <w:rFonts w:ascii="仿宋_GB2312" w:eastAsia="仿宋_GB2312" w:hAnsi="微软雅黑" w:hint="eastAsia"/>
          <w:kern w:val="0"/>
          <w:sz w:val="32"/>
          <w:szCs w:val="32"/>
          <w:shd w:val="clear" w:color="auto" w:fill="FFFFFF"/>
        </w:rPr>
        <w:t>是市委、市政府和区委坚强领导的结果，也是区人大、区政协监督支持的结果，更是全区上下</w:t>
      </w:r>
      <w:r>
        <w:rPr>
          <w:rFonts w:ascii="宋体" w:hAnsi="宋体" w:cs="宋体" w:hint="eastAsia"/>
          <w:kern w:val="0"/>
          <w:sz w:val="32"/>
          <w:szCs w:val="32"/>
          <w:shd w:val="clear" w:color="auto" w:fill="FFFFFF"/>
        </w:rPr>
        <w:t>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力同心</w:t>
      </w:r>
      <w:r>
        <w:rPr>
          <w:rFonts w:ascii="仿宋_GB2312" w:eastAsia="仿宋_GB2312" w:hAnsi="微软雅黑" w:hint="eastAsia"/>
          <w:kern w:val="0"/>
          <w:sz w:val="32"/>
          <w:szCs w:val="32"/>
          <w:shd w:val="clear" w:color="auto" w:fill="FFFFFF"/>
        </w:rPr>
        <w:t>、务实重干的结果。在此，我代表红旗区人民政府，向各位人大代表、政协委员、离退休同志、全区广大干部群众以及所有关心、支持和参与红旗发展的同志们、朋友们，特别是</w:t>
      </w:r>
      <w:r>
        <w:rPr>
          <w:rFonts w:ascii="仿宋_GB2312" w:eastAsia="仿宋_GB2312" w:hAnsi="微软雅黑"/>
          <w:kern w:val="0"/>
          <w:sz w:val="32"/>
          <w:szCs w:val="32"/>
          <w:shd w:val="clear" w:color="auto" w:fill="FFFFFF"/>
        </w:rPr>
        <w:t>在疫情期间</w:t>
      </w:r>
      <w:r>
        <w:rPr>
          <w:rFonts w:ascii="仿宋_GB2312" w:eastAsia="仿宋_GB2312" w:hAnsi="微软雅黑" w:hint="eastAsia"/>
          <w:kern w:val="0"/>
          <w:sz w:val="32"/>
          <w:szCs w:val="32"/>
          <w:shd w:val="clear" w:color="auto" w:fill="FFFFFF"/>
        </w:rPr>
        <w:t>无私奉献</w:t>
      </w:r>
      <w:r>
        <w:rPr>
          <w:rFonts w:ascii="仿宋_GB2312" w:eastAsia="仿宋_GB2312" w:hAnsi="微软雅黑"/>
          <w:kern w:val="0"/>
          <w:sz w:val="32"/>
          <w:szCs w:val="32"/>
          <w:shd w:val="clear" w:color="auto" w:fill="FFFFFF"/>
        </w:rPr>
        <w:t>的医务人员、企业家、志愿者</w:t>
      </w:r>
      <w:r>
        <w:rPr>
          <w:rFonts w:ascii="仿宋_GB2312" w:eastAsia="仿宋_GB2312" w:hAnsi="微软雅黑" w:hint="eastAsia"/>
          <w:kern w:val="0"/>
          <w:sz w:val="32"/>
          <w:szCs w:val="32"/>
          <w:shd w:val="clear" w:color="auto" w:fill="FFFFFF"/>
        </w:rPr>
        <w:t>等社会各界人士</w:t>
      </w:r>
      <w:r>
        <w:rPr>
          <w:rFonts w:ascii="仿宋_GB2312" w:eastAsia="仿宋_GB2312" w:hAnsi="微软雅黑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hint="eastAsia"/>
          <w:kern w:val="0"/>
          <w:sz w:val="32"/>
          <w:szCs w:val="32"/>
          <w:shd w:val="clear" w:color="auto" w:fill="FFFFFF"/>
        </w:rPr>
        <w:t>表示崇高的敬意和衷心的感谢！</w:t>
      </w:r>
    </w:p>
    <w:p w:rsidR="00306A2B" w:rsidRDefault="00555BAF" w:rsidP="00555BAF">
      <w:pPr>
        <w:spacing w:line="598" w:lineRule="exact"/>
        <w:ind w:firstLineChars="200" w:firstLine="640"/>
        <w:rPr>
          <w:rFonts w:ascii="仿宋_GB2312" w:eastAsia="仿宋_GB2312" w:hAnsi="微软雅黑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kern w:val="0"/>
          <w:sz w:val="32"/>
          <w:szCs w:val="32"/>
          <w:shd w:val="clear" w:color="auto" w:fill="FFFFFF"/>
        </w:rPr>
        <w:t>在肯定成绩的同时，我们也要清醒地认识到，全区经济社会发展还面临不少困难和问题：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40"/>
        </w:rPr>
        <w:t>一是财政压力巨大。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40"/>
        </w:rPr>
        <w:t>受疫情冲击，叠加贸易摩擦等复杂外部环境，加之减税降费力度越来越大，财政收支矛盾日益突出。</w:t>
      </w:r>
      <w:r>
        <w:rPr>
          <w:rFonts w:ascii="仿宋_GB2312" w:eastAsia="仿宋_GB2312" w:hAnsi="仿宋" w:cs="仿宋" w:hint="eastAsia"/>
          <w:b/>
          <w:kern w:val="0"/>
          <w:sz w:val="32"/>
          <w:szCs w:val="32"/>
          <w:shd w:val="clear" w:color="auto" w:fill="FFFFFF"/>
        </w:rPr>
        <w:t>二是公共服务设施不足。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shd w:val="clear" w:color="auto" w:fill="FFFFFF"/>
        </w:rPr>
        <w:t>城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40"/>
        </w:rPr>
        <w:t>乡基础设施建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40"/>
        </w:rPr>
        <w:lastRenderedPageBreak/>
        <w:t>设存在短板，在城市内涝等方面存在安全隐患，公共服务和应急体系建设有待提升。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40"/>
        </w:rPr>
        <w:t>三是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40"/>
        </w:rPr>
        <w:t>要素保障不够。</w:t>
      </w:r>
      <w:r>
        <w:rPr>
          <w:rFonts w:ascii="仿宋_GB2312" w:eastAsia="仿宋_GB2312" w:hAnsi="仿宋" w:cs="仿宋" w:hint="eastAsia"/>
          <w:bCs/>
          <w:kern w:val="0"/>
          <w:sz w:val="32"/>
          <w:szCs w:val="32"/>
          <w:shd w:val="clear" w:color="auto" w:fill="FFFFFF"/>
        </w:rPr>
        <w:t>根据市政府要求和招商工作需要，工业土地收储、标准厂房建设、政府融资能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40"/>
        </w:rPr>
        <w:t>力还不能很好满足发展需求。</w:t>
      </w:r>
      <w:r>
        <w:rPr>
          <w:rFonts w:ascii="仿宋_GB2312" w:eastAsia="仿宋_GB2312" w:hAnsi="微软雅黑" w:hint="eastAsia"/>
          <w:b/>
          <w:bCs/>
          <w:kern w:val="0"/>
          <w:sz w:val="32"/>
          <w:szCs w:val="32"/>
        </w:rPr>
        <w:t>四是</w:t>
      </w:r>
      <w:r>
        <w:rPr>
          <w:rFonts w:ascii="仿宋_GB2312" w:eastAsia="仿宋_GB2312" w:hAnsi="微软雅黑" w:hint="eastAsia"/>
          <w:b/>
          <w:kern w:val="0"/>
          <w:sz w:val="32"/>
          <w:szCs w:val="32"/>
        </w:rPr>
        <w:t>政府治理效能有待进一步提升。</w:t>
      </w:r>
      <w:r>
        <w:rPr>
          <w:rFonts w:ascii="仿宋_GB2312" w:eastAsia="仿宋_GB2312" w:hAnsi="微软雅黑" w:hint="eastAsia"/>
          <w:bCs/>
          <w:kern w:val="0"/>
          <w:sz w:val="32"/>
          <w:szCs w:val="32"/>
        </w:rPr>
        <w:t>文山会海虽得到有效遏制，但对中小微企业服务还不够精准，</w:t>
      </w:r>
      <w:r>
        <w:rPr>
          <w:rFonts w:ascii="Times New Roman" w:eastAsia="仿宋_GB2312" w:hAnsi="Times New Roman"/>
          <w:kern w:val="0"/>
          <w:sz w:val="32"/>
          <w:szCs w:val="32"/>
        </w:rPr>
        <w:t>形式主义、官僚主义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仍</w:t>
      </w:r>
      <w:r>
        <w:rPr>
          <w:rFonts w:ascii="Times New Roman" w:eastAsia="仿宋_GB2312" w:hAnsi="Times New Roman"/>
          <w:kern w:val="0"/>
          <w:sz w:val="32"/>
          <w:szCs w:val="32"/>
        </w:rPr>
        <w:t>不同程度存在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，工作中依然有上热中温下凉现象。</w:t>
      </w:r>
      <w:r>
        <w:rPr>
          <w:rFonts w:ascii="仿宋_GB2312" w:eastAsia="仿宋_GB2312" w:hAnsi="微软雅黑" w:hint="eastAsia"/>
          <w:kern w:val="0"/>
          <w:sz w:val="32"/>
          <w:szCs w:val="32"/>
          <w:shd w:val="clear" w:color="auto" w:fill="FFFFFF"/>
        </w:rPr>
        <w:t>在今后的工作中我们将采取有力措施，认真加以解决，绝不辜负组织的期望和人民的重托！</w:t>
      </w:r>
    </w:p>
    <w:p w:rsidR="00306A2B" w:rsidRDefault="00555BAF" w:rsidP="00555BAF">
      <w:pPr>
        <w:spacing w:beforeLines="40" w:before="124" w:line="598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</w:t>
      </w:r>
      <w:r>
        <w:rPr>
          <w:rFonts w:ascii="黑体" w:eastAsia="黑体" w:hAnsi="黑体"/>
          <w:kern w:val="0"/>
          <w:sz w:val="32"/>
          <w:szCs w:val="32"/>
        </w:rPr>
        <w:t>2020</w:t>
      </w:r>
      <w:r>
        <w:rPr>
          <w:rFonts w:ascii="黑体" w:eastAsia="黑体" w:hAnsi="黑体" w:hint="eastAsia"/>
          <w:kern w:val="0"/>
          <w:sz w:val="32"/>
          <w:szCs w:val="32"/>
        </w:rPr>
        <w:t>年工作总体要求</w:t>
      </w:r>
    </w:p>
    <w:p w:rsidR="00306A2B" w:rsidRDefault="00555BAF" w:rsidP="00555BAF">
      <w:pPr>
        <w:autoSpaceDE w:val="0"/>
        <w:autoSpaceDN w:val="0"/>
        <w:spacing w:line="598" w:lineRule="exact"/>
        <w:ind w:firstLineChars="200" w:firstLine="640"/>
        <w:rPr>
          <w:rFonts w:ascii="黑体" w:eastAsia="黑体" w:hAnsi="黑体" w:cs="楷体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年是全面建成小康社会和“十三五”规划的收官之年，也是红旗区全面提效破局、乘势构筑格局之年，为“十四五”发展和实现第二个百年奋斗目标打好基础，做好全年经济社会发展各项工作至关重要。</w:t>
      </w:r>
      <w:r>
        <w:rPr>
          <w:rFonts w:ascii="黑体" w:eastAsia="黑体" w:hAnsi="黑体" w:cs="楷体_GB2312" w:hint="eastAsia"/>
          <w:bCs/>
          <w:kern w:val="0"/>
          <w:sz w:val="32"/>
          <w:szCs w:val="32"/>
        </w:rPr>
        <w:t>今年的政府工作以习近平新时代中国特色社会主义思想为指导，全面贯彻党的十九大和十九届四中全会及中央经济工作会议精神，落实省委十届十次全会、省委经济工作会议和市委十一届十一次全会、市委经济工作会议部署，按照“四区争第一，省市争先进”总要求，围绕“两高一好”总目标，抢抓“三大机遇”，扎实做好“六稳”工作，全面落实“六保”任务，打赢“三大攻坚”，做好“三篇文章”，实现“三产融合”，“做强三产，做大二产，做精一产”，统筹城乡协同发展，推动“三生融合”，着力改善保障民生，确保全面建成小康社会和“十</w:t>
      </w:r>
      <w:r>
        <w:rPr>
          <w:rFonts w:ascii="黑体" w:eastAsia="黑体" w:hAnsi="黑体" w:cs="楷体_GB2312" w:hint="eastAsia"/>
          <w:bCs/>
          <w:kern w:val="0"/>
          <w:sz w:val="32"/>
          <w:szCs w:val="32"/>
        </w:rPr>
        <w:lastRenderedPageBreak/>
        <w:t>三五”规划圆满收官，全力谱写“幸福红旗”“首善之区”新篇章，为新乡市全面进入全省第一方阵贡献红旗力量。</w:t>
      </w:r>
    </w:p>
    <w:p w:rsidR="00306A2B" w:rsidRDefault="00555BAF" w:rsidP="00555BAF">
      <w:pPr>
        <w:spacing w:line="598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与全国、全省、全市一样，我区经济受疫情冲击明显下滑，一季度经济负增长。我们将克难攻坚、分秒必争，努力把耽误的时间抢回来，把落下的进度赶上去，全力稳住经济基本盘，兜住民生底线，力争上半年主要经济指标增速由负转正，全年主要经济指标增速高于全市平均水平。</w:t>
      </w:r>
    </w:p>
    <w:p w:rsidR="00306A2B" w:rsidRDefault="00555BAF" w:rsidP="00555BAF">
      <w:pPr>
        <w:pBdr>
          <w:bottom w:val="single" w:sz="4" w:space="0" w:color="FFFFFF"/>
        </w:pBdr>
        <w:tabs>
          <w:tab w:val="left" w:pos="1440"/>
        </w:tabs>
        <w:spacing w:line="586" w:lineRule="exact"/>
        <w:ind w:firstLineChars="200" w:firstLine="640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Cs/>
          <w:kern w:val="0"/>
          <w:sz w:val="32"/>
          <w:szCs w:val="32"/>
        </w:rPr>
        <w:t>2020年注定是极不寻常、极其艰辛的一年，新冠疫情突如其来，世界经济严重衰退，国内经济社会发展面临重重压力，中小微企业困难凸显。然而危和机总是同生并存的,克服了危即是机，我们要准确把握疫情防控和经济发展的新形势、新变化，勤于学习、善于创新、勇于争先、精于谋划、敢于担当、化危为机，</w:t>
      </w:r>
      <w:r>
        <w:rPr>
          <w:rFonts w:ascii="仿宋_GB2312" w:eastAsia="仿宋_GB2312" w:hAnsi="仿宋" w:hint="eastAsia"/>
          <w:kern w:val="0"/>
          <w:sz w:val="32"/>
          <w:szCs w:val="32"/>
        </w:rPr>
        <w:t>“在危机中育新机，于变局中开新局”，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推动各项工作有力有序有效开展。</w:t>
      </w:r>
      <w:r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一要念好创新经。</w:t>
      </w:r>
      <w:r>
        <w:rPr>
          <w:rFonts w:ascii="仿宋_GB2312" w:eastAsia="仿宋_GB2312" w:hAnsi="仿宋" w:hint="eastAsia"/>
          <w:kern w:val="0"/>
          <w:sz w:val="32"/>
          <w:szCs w:val="32"/>
        </w:rPr>
        <w:t>新冠肺炎疫情倒逼经济和社会转型步伐加快，不断催生新业态、新产品、新模式，“抓创新就是抓发展，谋创新就是谋未来”。我们具有得天独厚的区位优势、产业优势和科技优势，既要善于激发创新动能、营造创新氛围，又要把创新作为发展的支点，下大气力补齐创新短板，发展新能源、集聚新资源、推动新基建、培育新优势，为全区经济社会持续健康发展提供不竭动力。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二要下好先手棋。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立足于早、立足于快，学会</w:t>
      </w:r>
      <w:r>
        <w:rPr>
          <w:rFonts w:ascii="仿宋_GB2312" w:eastAsia="仿宋_GB2312" w:hAnsi="仿宋" w:hint="eastAsia"/>
          <w:kern w:val="0"/>
          <w:sz w:val="32"/>
          <w:szCs w:val="32"/>
        </w:rPr>
        <w:t>借势、顺势、谋势、驭势，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谋定后动，顺势而为。我们既要</w:t>
      </w:r>
      <w:r>
        <w:rPr>
          <w:rFonts w:ascii="仿宋_GB2312" w:eastAsia="仿宋_GB2312" w:hAnsi="仿宋" w:hint="eastAsia"/>
          <w:kern w:val="0"/>
          <w:sz w:val="32"/>
          <w:szCs w:val="32"/>
        </w:rPr>
        <w:t>抢抓黄河流域生态保护和高质量发展等</w:t>
      </w:r>
      <w:r>
        <w:rPr>
          <w:rFonts w:ascii="Times New Roman" w:eastAsia="仿宋_GB2312" w:hAnsi="Times New Roman"/>
          <w:kern w:val="0"/>
          <w:sz w:val="32"/>
          <w:szCs w:val="32"/>
        </w:rPr>
        <w:t>重大战略叠加机遇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高起</w:t>
      </w:r>
      <w:r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点编制“十四五规划”、国土空间规划、产业集聚区规划，又要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大力倡导“马上就办、一次办好”的工作精神，在观念上先人一步、在方法上高人一招、在效率上快人一拍。</w:t>
      </w:r>
      <w:r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三要打好组合拳。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整合资源、协同联动，持续探索产业融合、城乡融合、产城融合、产教融合、军民融合发展道路。我们既要赶好消费时代的“三驾马车”，积极争取专项债券，激活在线教育、在线医疗、非接触式消费等新兴消费热点，又要瞄准“六稳”高线，守牢“六保”底线，</w:t>
      </w:r>
      <w:r>
        <w:rPr>
          <w:rFonts w:ascii="仿宋_GB2312" w:eastAsia="仿宋_GB2312" w:hAnsi="仿宋" w:hint="eastAsia"/>
          <w:kern w:val="0"/>
          <w:sz w:val="32"/>
          <w:szCs w:val="32"/>
        </w:rPr>
        <w:t>推动县域经济“三起来”、乡镇工作“三结合”在红旗区落地生根、开花结果。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四要卯足精气神。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“越是艰难越向前”，大力传承红旗人敢于担责、勇于担难、善于担险的优良作风，争第一、创唯一。我们既要研究政策，用活政</w:t>
      </w:r>
      <w:r>
        <w:rPr>
          <w:rFonts w:ascii="仿宋_GB2312" w:eastAsia="仿宋_GB2312" w:hAnsi="仿宋" w:hint="eastAsia"/>
          <w:kern w:val="0"/>
          <w:sz w:val="32"/>
          <w:szCs w:val="32"/>
        </w:rPr>
        <w:t>策，创造性做好经济社会发展工作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，又要</w:t>
      </w:r>
      <w:r>
        <w:rPr>
          <w:rFonts w:ascii="仿宋_GB2312" w:eastAsia="仿宋_GB2312" w:hAnsi="仿宋" w:hint="eastAsia"/>
          <w:kern w:val="0"/>
          <w:sz w:val="32"/>
          <w:szCs w:val="32"/>
        </w:rPr>
        <w:t>拿出焦裕禄同志的“三股劲”，结合区情，摸透下情，沉下心、扑下身，撸起袖子加油干，再创红旗新辉煌！</w:t>
      </w:r>
    </w:p>
    <w:p w:rsidR="00306A2B" w:rsidRDefault="00555BAF" w:rsidP="00555BAF">
      <w:pPr>
        <w:spacing w:beforeLines="40" w:before="124" w:line="598" w:lineRule="exact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</w:t>
      </w:r>
      <w:r>
        <w:rPr>
          <w:rFonts w:ascii="黑体" w:eastAsia="黑体" w:hAnsi="黑体"/>
          <w:kern w:val="0"/>
          <w:sz w:val="32"/>
          <w:szCs w:val="32"/>
        </w:rPr>
        <w:t>2020</w:t>
      </w:r>
      <w:r>
        <w:rPr>
          <w:rFonts w:ascii="黑体" w:eastAsia="黑体" w:hAnsi="黑体" w:hint="eastAsia"/>
          <w:kern w:val="0"/>
          <w:sz w:val="32"/>
          <w:szCs w:val="32"/>
        </w:rPr>
        <w:t>年工作安排</w:t>
      </w:r>
    </w:p>
    <w:p w:rsidR="00306A2B" w:rsidRDefault="00555BAF" w:rsidP="00555BAF">
      <w:pPr>
        <w:pStyle w:val="a9"/>
        <w:widowControl w:val="0"/>
        <w:spacing w:before="0" w:beforeAutospacing="0" w:after="0" w:afterAutospacing="0" w:line="598" w:lineRule="exact"/>
        <w:ind w:firstLineChars="200" w:firstLine="640"/>
        <w:jc w:val="both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围绕上述目标任务，全年重点做好以下八项工作：</w:t>
      </w:r>
    </w:p>
    <w:p w:rsidR="00306A2B" w:rsidRDefault="00555BAF" w:rsidP="001205D9">
      <w:pPr>
        <w:pBdr>
          <w:bottom w:val="single" w:sz="4" w:space="0" w:color="FFFFFF"/>
        </w:pBdr>
        <w:tabs>
          <w:tab w:val="left" w:pos="1440"/>
        </w:tabs>
        <w:spacing w:line="610" w:lineRule="exact"/>
        <w:ind w:firstLineChars="200" w:firstLine="643"/>
        <w:rPr>
          <w:rFonts w:ascii="仿宋_GB2312" w:eastAsia="仿宋_GB2312" w:cs="楷体"/>
          <w:bCs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（一）夺取疫情防控与经济社会发展双胜利。</w:t>
      </w:r>
      <w:r>
        <w:rPr>
          <w:rFonts w:ascii="仿宋_GB2312" w:eastAsia="仿宋_GB2312" w:cs="楷体" w:hint="eastAsia"/>
          <w:bCs/>
          <w:kern w:val="0"/>
          <w:sz w:val="32"/>
          <w:szCs w:val="32"/>
        </w:rPr>
        <w:t>慎终如始抓好疫情防控，坚持依法防疫、科学防疫、精准防疫、铁腕防疫。坚决克服麻痹思想、厌战情绪、侥幸心理、松劲心态，持续抓紧抓实抓细外防输入、内防反弹常态化工作。加快“人防+物防+技防”融合，加强“大数据+网格化”管控，对无主庭院、居民院楼、复课校园、园区工地等防控漏洞再排查、对防控重点再加固、对</w:t>
      </w:r>
      <w:r>
        <w:rPr>
          <w:rFonts w:ascii="仿宋_GB2312" w:eastAsia="仿宋_GB2312" w:cs="楷体" w:hint="eastAsia"/>
          <w:bCs/>
          <w:kern w:val="0"/>
          <w:sz w:val="32"/>
          <w:szCs w:val="32"/>
        </w:rPr>
        <w:lastRenderedPageBreak/>
        <w:t>防控要求再落实，确保疫情不出现反弹。健全城乡传染病救治网络，加快区疾控中心疾病及两镇预防控制体系现代化建设。完善全链条应急预案，有序做好防疫物资生产储备，提高突发公共卫生事件应急处置和医疗救治能力。在做好常态化疫情防控的前提下，实施积极的财政政策，用好用活防疫专项债，围绕产业链、龙头企业、重大投资项目，打通堵点、连接断点，着力稳定居民消费，加快释放新兴消费潜力，精准排查企业需求，加强金融扶持，推动各类商场、市场和生活服务业恢复到正常水平，畅通产业循环、市场循环、经济社会循环。</w:t>
      </w:r>
    </w:p>
    <w:p w:rsidR="00306A2B" w:rsidRDefault="00555BAF" w:rsidP="001205D9">
      <w:pPr>
        <w:pBdr>
          <w:bottom w:val="single" w:sz="4" w:space="0" w:color="FFFFFF"/>
        </w:pBdr>
        <w:tabs>
          <w:tab w:val="left" w:pos="1440"/>
        </w:tabs>
        <w:spacing w:line="61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cs="仿宋" w:hint="eastAsia"/>
          <w:b/>
          <w:kern w:val="0"/>
          <w:sz w:val="32"/>
          <w:szCs w:val="32"/>
        </w:rPr>
        <w:t>（二）</w:t>
      </w: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坚持改革与创新双轮驱动。</w:t>
      </w:r>
      <w:r>
        <w:rPr>
          <w:rFonts w:ascii="仿宋_GB2312" w:eastAsia="仿宋_GB2312" w:hint="eastAsia"/>
          <w:kern w:val="0"/>
          <w:sz w:val="32"/>
          <w:szCs w:val="32"/>
        </w:rPr>
        <w:t>实施创新驱动发展战略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激发改革活力，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争创国家双创示范基地。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推进</w:t>
      </w:r>
      <w:r>
        <w:rPr>
          <w:rFonts w:ascii="仿宋_GB2312" w:eastAsia="仿宋_GB2312" w:hAnsi="黑体" w:hint="eastAsia"/>
          <w:b/>
          <w:kern w:val="0"/>
          <w:sz w:val="32"/>
          <w:szCs w:val="32"/>
        </w:rPr>
        <w:t>改革创新。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进一步完善新东区领导体制、管理机制，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激活园区产业活力。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深化新东投资公司改革，推动子公司市场化运作，力争公司总资产达到30亿元，新增融资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亿元。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坚持“六个一”工作机制，加强联审联批，推进“互联网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政务”，实现“一网通办”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。高标准完成新政务大厅建设。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精简税务流程，加强税源管理，完善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区和镇（办）两级财权、事权划分。加快推动“智慧红旗”建设。拓展“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e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岗通”功能，扩大社区覆盖范围。</w:t>
      </w: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突出科技创新。</w:t>
      </w:r>
      <w:r>
        <w:rPr>
          <w:rFonts w:ascii="仿宋_GB2312" w:eastAsia="仿宋_GB2312" w:cs="楷体" w:hint="eastAsia"/>
          <w:bCs/>
          <w:kern w:val="0"/>
          <w:sz w:val="32"/>
          <w:szCs w:val="32"/>
        </w:rPr>
        <w:t>加快郑洛新自创区“四个一批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”和“一台两器一园”建设，发挥863众创空间、海创汇创新中心等平</w:t>
      </w:r>
      <w:r>
        <w:rPr>
          <w:rFonts w:ascii="仿宋_GB2312" w:eastAsia="仿宋_GB2312" w:cs="楷体" w:hint="eastAsia"/>
          <w:bCs/>
          <w:kern w:val="0"/>
          <w:sz w:val="32"/>
          <w:szCs w:val="32"/>
        </w:rPr>
        <w:t>台作用，引导研发型龙头企业把创新作为发展基点，以科技创新带动全面创新。</w:t>
      </w:r>
      <w:r>
        <w:rPr>
          <w:rFonts w:ascii="仿宋_GB2312" w:eastAsia="仿宋_GB2312" w:hAnsi="微软雅黑" w:cs="微软雅黑" w:hint="eastAsia"/>
          <w:bCs/>
          <w:kern w:val="0"/>
          <w:sz w:val="32"/>
          <w:szCs w:val="32"/>
        </w:rPr>
        <w:t>强力推进与新乡医学</w:t>
      </w:r>
      <w:r>
        <w:rPr>
          <w:rFonts w:ascii="仿宋_GB2312" w:eastAsia="仿宋_GB2312" w:hAnsi="微软雅黑" w:cs="微软雅黑" w:hint="eastAsia"/>
          <w:bCs/>
          <w:kern w:val="0"/>
          <w:sz w:val="32"/>
          <w:szCs w:val="32"/>
        </w:rPr>
        <w:lastRenderedPageBreak/>
        <w:t>院共建河南合成生物医疗与健康技术创新研究院项目、芯睿电子与河南师范大学智能传感器合作研发、尚品优塑与河南科技学院共建协同创新中心、新东投资公司与新乡学院大学生实习基地建设。加快推动欧洲农业物理（新乡）研究院与乌克兰苏梅国立农业大学、百合光电与英国南威尔士大学共建技术与人才交流平台建设。</w:t>
      </w:r>
    </w:p>
    <w:p w:rsidR="00306A2B" w:rsidRDefault="00555BAF" w:rsidP="001205D9">
      <w:pPr>
        <w:spacing w:line="61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（三）坚持招商引资和项目建设主战略不动摇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把招商引资和项目推进作为经济工作的重中之重，全力推进“一园一区一港一街”建设。</w:t>
      </w:r>
      <w:r>
        <w:rPr>
          <w:rFonts w:ascii="仿宋_GB2312" w:eastAsia="仿宋_GB2312" w:cs="仿宋" w:hint="eastAsia"/>
          <w:b/>
          <w:bCs/>
          <w:kern w:val="0"/>
          <w:sz w:val="32"/>
          <w:szCs w:val="32"/>
        </w:rPr>
        <w:t>聚力招商引资。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持续开展“一招四引”，建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立招商引资网络体系和重大项目通报等机制，开展大员招商、全员招商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。依托进博会、高博会、中博会等一系列国家、省、市招商平台，积极主动承接京津冀、珠三角、郑州等地区产业转移。依托芯睿电子、北方仪表等龙头企业，全方位开展产业链“强链、延链、补链”招商。</w:t>
      </w:r>
      <w:r>
        <w:rPr>
          <w:rFonts w:ascii="仿宋_GB2312" w:eastAsia="仿宋_GB2312" w:hint="eastAsia"/>
          <w:bCs/>
          <w:kern w:val="0"/>
          <w:sz w:val="32"/>
          <w:szCs w:val="32"/>
        </w:rPr>
        <w:t>依托芯</w:t>
      </w:r>
      <w:r>
        <w:rPr>
          <w:rFonts w:ascii="仿宋_GB2312" w:eastAsia="仿宋_GB2312" w:hint="eastAsia"/>
          <w:kern w:val="0"/>
          <w:sz w:val="32"/>
          <w:szCs w:val="32"/>
        </w:rPr>
        <w:t>睿电子MEMS中试基地推进“一谷两基地”建设，发挥工信领军企业研究院的招商集聚效应，引进芯片、传感器企业签约落位；依托百合光电特种光学研究院平台，集聚上下游产业，力争落位光电信息企业和研发平台5家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引进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家总投资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亿元以上的光电信息与传感器产业集群</w:t>
      </w:r>
      <w:r>
        <w:rPr>
          <w:rFonts w:ascii="仿宋_GB2312" w:eastAsia="仿宋_GB2312" w:hint="eastAsia"/>
          <w:kern w:val="0"/>
          <w:sz w:val="32"/>
          <w:szCs w:val="32"/>
        </w:rPr>
        <w:t>；推进北方仪表和省投资集团合作,争取河南军工集团落位园区；完成北方仪表二期土地挂牌，开工建设50亩储备用地，争取6家军工企业签约落位；中德产业园项目一期10月前开园，力争天成机械等10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家企业落位。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推动专业领域人才与岗位的精准对接，鼓励吸引高层次人才来红旗区创新创业，推进“牧野英才-青年英才”申报审批专项工作。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聚焦项目建设。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签约项目抓落位、落位项目抓开工、开工项目抓投产、投产项目抓效益。全力推进144项500万元以上的重点项目，总投资928.3亿元，其中，10亿元以上的项目28个，1亿元以上的项目54个，省级重点项目4个，市级重点项目9个，省、市、区重大项目年度投资160.5亿元。推进人工智能、工业互联网、新能源汽车充电桩等基础设施建设，建设5G智慧城市“1+N”云平台项目；推动跨境贸易电商与北方仪表等制造企业在业务拓展上的深度融合。与市投资集团合作，谋划推进卫河文化带红旗段建设；依托四大天王庙、百年药店和李家大院等文物，加快北关文化街历史原貌维修保护；结合运河码头文化，规划运河历史文化馆建设和运河街区原始风貌保护展示工程。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聚集要素保障。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加大力度推进“三违三未”专项整治，加快集体土地征收、补偿、出让，</w:t>
      </w:r>
      <w:r>
        <w:rPr>
          <w:rFonts w:ascii="仿宋_GB2312" w:eastAsia="仿宋_GB2312" w:hint="eastAsia"/>
          <w:kern w:val="0"/>
          <w:sz w:val="32"/>
          <w:szCs w:val="32"/>
        </w:rPr>
        <w:t>完成工业用地收储1200亩，保障工业用地需求；提升投融资能力，科学谋划专项债券项目,充分发挥新东区、两镇等自有融资平台公司作用，新建1个不少于1亿元投放金额的投融资平台；加快标准厂房建设，推动台湾科技园、智能制造产业园等项目进程，新增标准厂房6万</w:t>
      </w:r>
      <w:r>
        <w:rPr>
          <w:rFonts w:ascii="Segoe UI Symbol" w:eastAsia="仿宋_GB2312" w:hAnsi="Segoe UI Symbol" w:cs="Segoe UI Symbol"/>
          <w:kern w:val="0"/>
          <w:sz w:val="32"/>
          <w:szCs w:val="32"/>
        </w:rPr>
        <w:t>㎡</w:t>
      </w:r>
      <w:r>
        <w:rPr>
          <w:rFonts w:ascii="仿宋_GB2312" w:eastAsia="仿宋_GB2312" w:hint="eastAsia"/>
          <w:kern w:val="0"/>
          <w:sz w:val="32"/>
          <w:szCs w:val="32"/>
        </w:rPr>
        <w:t>；引进和用活产业基金，充分发挥新东产业基金作用，再引进1支投资规模不小于2亿元、投放金额不少于1亿元的产业引导基金；培</w:t>
      </w:r>
      <w:r>
        <w:rPr>
          <w:rFonts w:ascii="仿宋_GB2312" w:eastAsia="仿宋_GB2312" w:hint="eastAsia"/>
          <w:kern w:val="0"/>
          <w:sz w:val="32"/>
          <w:szCs w:val="32"/>
        </w:rPr>
        <w:lastRenderedPageBreak/>
        <w:t>育引进2个省级研发创新平台、3个市级研发创新平台。坚持“四挂钩”、领导分包、首席服务官等制度，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严格落实减税降费政策，保护企业家权</w:t>
      </w:r>
      <w:r>
        <w:rPr>
          <w:rFonts w:ascii="仿宋_GB2312" w:eastAsia="仿宋_GB2312" w:hint="eastAsia"/>
          <w:kern w:val="0"/>
          <w:sz w:val="32"/>
          <w:szCs w:val="32"/>
        </w:rPr>
        <w:t>益，支持实体经济发展，注重对中小微企业的一对一、心贴心服务，</w:t>
      </w:r>
      <w:r>
        <w:rPr>
          <w:rFonts w:ascii="仿宋_GB2312" w:eastAsia="仿宋_GB2312"/>
          <w:kern w:val="0"/>
          <w:sz w:val="32"/>
          <w:szCs w:val="32"/>
        </w:rPr>
        <w:t>弘扬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/>
          <w:kern w:val="0"/>
          <w:sz w:val="32"/>
          <w:szCs w:val="32"/>
        </w:rPr>
        <w:t>企业家精神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>
        <w:rPr>
          <w:rFonts w:ascii="仿宋_GB2312" w:eastAsia="仿宋_GB2312"/>
          <w:kern w:val="0"/>
          <w:sz w:val="32"/>
          <w:szCs w:val="32"/>
        </w:rPr>
        <w:t>和</w:t>
      </w:r>
      <w:r>
        <w:rPr>
          <w:rFonts w:ascii="仿宋_GB2312" w:eastAsia="仿宋_GB2312" w:hint="eastAsia"/>
          <w:kern w:val="0"/>
          <w:sz w:val="32"/>
          <w:szCs w:val="32"/>
        </w:rPr>
        <w:t>“</w:t>
      </w:r>
      <w:r>
        <w:rPr>
          <w:rFonts w:ascii="仿宋_GB2312" w:eastAsia="仿宋_GB2312"/>
          <w:kern w:val="0"/>
          <w:sz w:val="32"/>
          <w:szCs w:val="32"/>
        </w:rPr>
        <w:t>工匠精神</w:t>
      </w:r>
      <w:r>
        <w:rPr>
          <w:rFonts w:ascii="仿宋_GB2312" w:eastAsia="仿宋_GB2312" w:hint="eastAsia"/>
          <w:kern w:val="0"/>
          <w:sz w:val="32"/>
          <w:szCs w:val="32"/>
        </w:rPr>
        <w:t>”，打造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“清、亲、法、诚、快”营商环境，争创“营商环境建设示范区”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。</w:t>
      </w:r>
    </w:p>
    <w:p w:rsidR="00306A2B" w:rsidRDefault="00555BAF" w:rsidP="001205D9">
      <w:pPr>
        <w:spacing w:line="610" w:lineRule="exact"/>
        <w:ind w:firstLineChars="200" w:firstLine="643"/>
        <w:rPr>
          <w:kern w:val="0"/>
        </w:rPr>
      </w:pP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（四）加快构建现代产业新体系。</w:t>
      </w:r>
      <w:r>
        <w:rPr>
          <w:rFonts w:ascii="仿宋_GB2312" w:eastAsia="仿宋_GB2312" w:hAnsi="仿宋" w:hint="eastAsia"/>
          <w:kern w:val="0"/>
          <w:sz w:val="32"/>
          <w:szCs w:val="32"/>
        </w:rPr>
        <w:t>深入实施产业振兴战略，推动产业融合发展。</w:t>
      </w:r>
      <w:r>
        <w:rPr>
          <w:rFonts w:ascii="仿宋_GB2312" w:eastAsia="仿宋_GB2312" w:cs="仿宋_GB2312" w:hint="eastAsia"/>
          <w:b/>
          <w:kern w:val="0"/>
          <w:sz w:val="32"/>
          <w:szCs w:val="32"/>
          <w:shd w:val="clear" w:color="auto" w:fill="FFFFFF"/>
        </w:rPr>
        <w:t>打造现代服务业高地。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以发展楼宇经济、激活夜经济为两大着力点，促进产业和消费双升。加速国际商务中心金融港建设，紧盯平安银行等重点企业，吸引民营银行入驻，年内金融机构总量突破66家；推进863科技产业园同郑州金水“一带一路”经贸产业园合作，打造“一带一路”经贸产业园；加强跨境贸易产业园同青网科技合作，打造青网科技新科创产业园；以跨境贸易大厦、互联网大厦等6座商务楼宇为重点，以嘟嘟网游、饿了么等互联网企业为平台，实施星级楼宇培育计划，逐步形成一栋楼、一特色、一品牌的集聚态势</w:t>
      </w:r>
      <w:r w:rsidR="007B2705"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实现关帝庙历史文化街和西大街小吃一条街东西贯通，打造靖业第五大道高档餐饮一条街，形成区域性夜消费、地摊经济集聚圈。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建设高端先进制造业园区。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围绕光电信息和智能制造两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大主导产业，以“九园一区”建设为抓手，打造产业集聚区的精品屋、先进制造业的旗舰店，力争下半年全市先进制造业专业园区现场推进会在我区召开。实施产业集聚区“二次创业”，探索“政建企营、企建政营、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lastRenderedPageBreak/>
        <w:t>企建企营”等运营方式，加快光电信息专业园、红旗区传感器专业园等园区建设；加强基础设施建设和配套服务，为园区发展提供有力保障；建立动态管理、奖惩激励机制，形成园区竞相发展的良好局面。持续举龙头、立支柱、铸品牌、强载体，支持芯蕴新能源等工业企业快速发展；实施“三大改造”，推动晨风绿能等20个技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改项目实施“设备换芯”“生产换代”“机器换人”；将人工智能、大数据、物联网、区块链等新兴技术引入巴山航空、日升数控等企业，推动生产、管理、运营方式全面升级。</w:t>
      </w:r>
      <w:r>
        <w:rPr>
          <w:rFonts w:ascii="仿宋_GB2312" w:eastAsia="仿宋_GB2312" w:cs="仿宋_GB2312" w:hint="eastAsia"/>
          <w:b/>
          <w:bCs/>
          <w:kern w:val="0"/>
          <w:sz w:val="32"/>
          <w:szCs w:val="32"/>
          <w:shd w:val="clear" w:color="auto" w:fill="FFFFFF"/>
        </w:rPr>
        <w:t>建设都市农业体系。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以“强集共建”为主要抓手，推进水木九天、花之海等都市农业项目落地，打造现代都市农业示范样本。</w:t>
      </w:r>
    </w:p>
    <w:p w:rsidR="00306A2B" w:rsidRDefault="00555BAF" w:rsidP="001205D9">
      <w:pPr>
        <w:pBdr>
          <w:bottom w:val="single" w:sz="4" w:space="3" w:color="FFFFFF"/>
        </w:pBdr>
        <w:tabs>
          <w:tab w:val="left" w:pos="1440"/>
        </w:tabs>
        <w:spacing w:line="590" w:lineRule="exact"/>
        <w:ind w:firstLineChars="200" w:firstLine="643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kern w:val="0"/>
          <w:sz w:val="32"/>
          <w:szCs w:val="32"/>
        </w:rPr>
        <w:t>（五）持续开展百城提质工程和文明城市创建工作。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推进城市规划、建设、管理、经营“四位一体”，</w:t>
      </w:r>
      <w:r>
        <w:rPr>
          <w:rFonts w:ascii="仿宋_GB2312" w:eastAsia="仿宋_GB2312" w:hAnsi="仿宋" w:hint="eastAsia"/>
          <w:kern w:val="0"/>
          <w:sz w:val="32"/>
          <w:szCs w:val="32"/>
        </w:rPr>
        <w:t>使“老城增气质，新区添颜值”。</w:t>
      </w:r>
      <w:r>
        <w:rPr>
          <w:rFonts w:ascii="仿宋_GB2312" w:eastAsia="仿宋_GB2312" w:hAnsi="楷体_GB2312" w:cs="楷体_GB2312" w:hint="eastAsia"/>
          <w:b/>
          <w:bCs/>
          <w:kern w:val="0"/>
          <w:sz w:val="32"/>
          <w:szCs w:val="32"/>
        </w:rPr>
        <w:t>加快城区建设。</w:t>
      </w:r>
      <w:r>
        <w:rPr>
          <w:rFonts w:ascii="仿宋_GB2312" w:eastAsia="仿宋_GB2312" w:hAnsi="楷体_GB2312" w:cs="楷体_GB2312" w:hint="eastAsia"/>
          <w:bCs/>
          <w:kern w:val="0"/>
          <w:sz w:val="32"/>
          <w:szCs w:val="32"/>
        </w:rPr>
        <w:t>借鉴湖州经验，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东西闫屯、晋村王连屯等城中村改造项目进行整体规划和改造提升，加快解决新型农村社区后续建设和资金难题，推动以高铁站东广场建设为中心的商务中心区建设。做好马小营、公村、张庄等项目的征收收尾和二期安置房建设工作；启动印染厂项目居民区征收工作，</w:t>
      </w:r>
      <w:r>
        <w:rPr>
          <w:rFonts w:ascii="仿宋_GB2312" w:eastAsia="仿宋_GB2312" w:hint="eastAsia"/>
          <w:kern w:val="0"/>
          <w:sz w:val="32"/>
          <w:szCs w:val="32"/>
        </w:rPr>
        <w:t>全年完成开工</w:t>
      </w:r>
      <w:r>
        <w:rPr>
          <w:rFonts w:ascii="仿宋_GB2312" w:eastAsia="仿宋_GB2312"/>
          <w:kern w:val="0"/>
          <w:sz w:val="32"/>
          <w:szCs w:val="32"/>
        </w:rPr>
        <w:t>80</w:t>
      </w:r>
      <w:r>
        <w:rPr>
          <w:rFonts w:ascii="仿宋_GB2312" w:eastAsia="仿宋_GB2312" w:hint="eastAsia"/>
          <w:kern w:val="0"/>
          <w:sz w:val="32"/>
          <w:szCs w:val="32"/>
        </w:rPr>
        <w:t>万</w:t>
      </w:r>
      <w:r>
        <w:rPr>
          <w:rFonts w:ascii="Segoe UI Symbol" w:eastAsia="仿宋_GB2312" w:hAnsi="Segoe UI Symbol" w:cs="Segoe UI Symbol"/>
          <w:kern w:val="0"/>
          <w:sz w:val="32"/>
          <w:szCs w:val="32"/>
        </w:rPr>
        <w:t>㎡</w:t>
      </w:r>
      <w:r>
        <w:rPr>
          <w:rFonts w:ascii="仿宋_GB2312" w:eastAsia="仿宋_GB2312"/>
          <w:kern w:val="0"/>
          <w:sz w:val="32"/>
          <w:szCs w:val="32"/>
        </w:rPr>
        <w:t>,</w:t>
      </w:r>
      <w:r>
        <w:rPr>
          <w:rFonts w:ascii="仿宋_GB2312" w:eastAsia="仿宋_GB2312" w:hint="eastAsia"/>
          <w:kern w:val="0"/>
          <w:sz w:val="32"/>
          <w:szCs w:val="32"/>
        </w:rPr>
        <w:t>征收房屋</w:t>
      </w:r>
      <w:r>
        <w:rPr>
          <w:rFonts w:ascii="仿宋_GB2312" w:eastAsia="仿宋_GB2312"/>
          <w:kern w:val="0"/>
          <w:sz w:val="32"/>
          <w:szCs w:val="32"/>
        </w:rPr>
        <w:t>50</w:t>
      </w:r>
      <w:r>
        <w:rPr>
          <w:rFonts w:ascii="仿宋_GB2312" w:eastAsia="仿宋_GB2312" w:hint="eastAsia"/>
          <w:kern w:val="0"/>
          <w:sz w:val="32"/>
          <w:szCs w:val="32"/>
        </w:rPr>
        <w:t>万</w:t>
      </w:r>
      <w:r>
        <w:rPr>
          <w:rFonts w:ascii="Segoe UI Symbol" w:eastAsia="仿宋_GB2312" w:hAnsi="Segoe UI Symbol" w:cs="Segoe UI Symbol"/>
          <w:kern w:val="0"/>
          <w:sz w:val="32"/>
          <w:szCs w:val="32"/>
        </w:rPr>
        <w:t>㎡</w:t>
      </w:r>
      <w:r>
        <w:rPr>
          <w:rFonts w:ascii="Segoe UI Symbol" w:eastAsia="仿宋_GB2312" w:hAnsi="Segoe UI Symbol" w:cs="Segoe UI Symbol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投资</w:t>
      </w:r>
      <w:r>
        <w:rPr>
          <w:rFonts w:ascii="仿宋_GB2312" w:eastAsia="仿宋_GB2312"/>
          <w:kern w:val="0"/>
          <w:sz w:val="32"/>
          <w:szCs w:val="32"/>
        </w:rPr>
        <w:t>80</w:t>
      </w:r>
      <w:r>
        <w:rPr>
          <w:rFonts w:ascii="仿宋_GB2312" w:eastAsia="仿宋_GB2312" w:hint="eastAsia"/>
          <w:kern w:val="0"/>
          <w:sz w:val="32"/>
          <w:szCs w:val="32"/>
        </w:rPr>
        <w:t>亿元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；启动标准件厂和孟营一村原村委会项目征收拆迁和安置房建设；</w:t>
      </w:r>
      <w:r>
        <w:rPr>
          <w:rFonts w:ascii="仿宋_GB2312" w:eastAsia="仿宋_GB2312" w:hint="eastAsia"/>
          <w:kern w:val="0"/>
          <w:sz w:val="32"/>
          <w:szCs w:val="32"/>
        </w:rPr>
        <w:t>加快四中、小北街、橡胶厂等项目招商落位。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抓好</w:t>
      </w:r>
      <w:r>
        <w:rPr>
          <w:rFonts w:ascii="仿宋_GB2312" w:eastAsia="仿宋_GB2312" w:hAnsi="Segoe UI Symbol" w:cs="Segoe UI Symbol" w:hint="eastAsia"/>
          <w:bCs/>
          <w:kern w:val="0"/>
          <w:sz w:val="32"/>
          <w:szCs w:val="32"/>
        </w:rPr>
        <w:t>总投资约</w:t>
      </w:r>
      <w:r>
        <w:rPr>
          <w:rFonts w:ascii="仿宋_GB2312" w:eastAsia="仿宋_GB2312" w:hAnsi="Segoe UI Symbol" w:cs="Segoe UI Symbol"/>
          <w:bCs/>
          <w:kern w:val="0"/>
          <w:sz w:val="32"/>
          <w:szCs w:val="32"/>
        </w:rPr>
        <w:t>3</w:t>
      </w:r>
      <w:r>
        <w:rPr>
          <w:rFonts w:ascii="仿宋_GB2312" w:eastAsia="仿宋_GB2312" w:hAnsi="Segoe UI Symbol" w:cs="Segoe UI Symbol" w:hint="eastAsia"/>
          <w:bCs/>
          <w:kern w:val="0"/>
          <w:sz w:val="32"/>
          <w:szCs w:val="32"/>
        </w:rPr>
        <w:t>亿元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个老旧小区改造提升，支持加装电梯，提升社区服务，打造更多红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旗样板</w:t>
      </w:r>
      <w:r>
        <w:rPr>
          <w:rFonts w:ascii="仿宋_GB2312" w:eastAsia="仿宋_GB2312" w:hAnsi="Segoe UI Symbol" w:cs="Segoe UI Symbol" w:hint="eastAsia"/>
          <w:bCs/>
          <w:kern w:val="0"/>
          <w:sz w:val="32"/>
          <w:szCs w:val="32"/>
        </w:rPr>
        <w:t>。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对文化巷、邮政胡同等5条背街小巷全面实施提升改造；对文化街、新康巷等7个雨污水混流点实施改造；新建游园绿地3个，新增绿地面积8500</w:t>
      </w:r>
      <w:r>
        <w:rPr>
          <w:rFonts w:ascii="Segoe UI Symbol" w:eastAsia="仿宋_GB2312" w:hAnsi="Segoe UI Symbol" w:cs="Segoe UI Symbol"/>
          <w:kern w:val="0"/>
          <w:sz w:val="32"/>
          <w:szCs w:val="32"/>
          <w:shd w:val="clear" w:color="auto" w:fill="FFFFFF"/>
        </w:rPr>
        <w:t>㎡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完成公厕建设任务；推动立体停车场建设；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新建5个热力交换站，新增供热面积50万</w:t>
      </w:r>
      <w:r>
        <w:rPr>
          <w:rFonts w:ascii="Segoe UI Symbol" w:eastAsia="仿宋_GB2312" w:hAnsi="Segoe UI Symbol" w:cs="Segoe UI Symbol"/>
          <w:kern w:val="0"/>
          <w:sz w:val="32"/>
          <w:szCs w:val="32"/>
          <w:shd w:val="clear" w:color="auto" w:fill="FFFFFF"/>
        </w:rPr>
        <w:t>㎡</w:t>
      </w:r>
      <w:r>
        <w:rPr>
          <w:rFonts w:ascii="仿宋_GB2312" w:eastAsia="仿宋_GB2312" w:hAnsi="宋体" w:hint="eastAsia"/>
          <w:kern w:val="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完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成果园小区等区域90万</w:t>
      </w:r>
      <w:r>
        <w:rPr>
          <w:rFonts w:ascii="Segoe UI Symbol" w:eastAsia="仿宋_GB2312" w:hAnsi="Segoe UI Symbol" w:cs="Segoe UI Symbol"/>
          <w:kern w:val="0"/>
          <w:sz w:val="32"/>
          <w:szCs w:val="32"/>
          <w:shd w:val="clear" w:color="auto" w:fill="FFFFFF"/>
        </w:rPr>
        <w:t>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的既有建筑节能改造任务</w:t>
      </w:r>
      <w:r>
        <w:rPr>
          <w:rFonts w:ascii="仿宋_GB2312" w:eastAsia="仿宋_GB2312" w:hint="eastAsia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shd w:val="clear" w:color="auto" w:fill="FFFFFF"/>
        </w:rPr>
        <w:t>实施乡村振兴。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shd w:val="clear" w:color="auto" w:fill="FFFFFF"/>
        </w:rPr>
        <w:t>以农村五项改革为抓手，全力推动“五个振兴”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稳步实施“美丽乡村”计划，开展“一河两路”专项行动，</w:t>
      </w:r>
      <w:r>
        <w:rPr>
          <w:rFonts w:ascii="仿宋_GB2312" w:eastAsia="仿宋_GB2312" w:cs="仿宋_GB2312" w:hint="eastAsia"/>
          <w:bCs/>
          <w:kern w:val="0"/>
          <w:sz w:val="32"/>
          <w:szCs w:val="32"/>
        </w:rPr>
        <w:t>持续开展以全域净化、廊道绿化、街区美化、道路硬化、夜间亮化为主要内容的城乡环境整治；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107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国道以东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个村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实现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自来水、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燃气全覆盖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；农村户用卫生厕所普及率达到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；强化农村社区综合设施和站点建设，加快“四好农村路”建设，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推动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段农村公路尽快开工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按照“一村万树”三年行动计划打造</w:t>
      </w:r>
      <w:r>
        <w:rPr>
          <w:rFonts w:ascii="仿宋_GB2312" w:eastAsia="仿宋_GB2312" w:hAnsi="仿宋_GB2312" w:cs="仿宋_GB2312"/>
          <w:bCs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个达标示范村，创建</w:t>
      </w:r>
      <w:r>
        <w:rPr>
          <w:rFonts w:ascii="仿宋_GB2312" w:eastAsia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个花园式庭院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shd w:val="clear" w:color="auto" w:fill="FFFFFF"/>
        </w:rPr>
        <w:t>；积极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争创省级农产品质量安全区。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推进文明城区创建。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开展户外广告招牌提档提质，加快“数字城管”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平台建设，构建“互联网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城市管理”新体系；完善“路长制”“街长制”网格化管理机制，探索“基层派单、部门接单”社会长效治理模式；启动生活垃圾分类工作；全面开展党建引领无主庭院科学管理，参照“一有七中心”标准，实现规范化社区全覆盖，打造文明社区、幸福家园；推进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文明村镇、文明家庭、星级文明户创建；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实施常态化管理，全力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做好文明城市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创建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复审各项工作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06A2B" w:rsidRDefault="00555BAF" w:rsidP="001205D9">
      <w:pPr>
        <w:pBdr>
          <w:bottom w:val="single" w:sz="4" w:space="3" w:color="FFFFFF"/>
        </w:pBdr>
        <w:tabs>
          <w:tab w:val="left" w:pos="1440"/>
        </w:tabs>
        <w:spacing w:line="610" w:lineRule="exact"/>
        <w:ind w:firstLineChars="200" w:firstLine="643"/>
        <w:rPr>
          <w:rFonts w:ascii="仿宋_GB2312" w:eastAsia="仿宋_GB2312" w:hAnsi="Arial" w:cs="Arial"/>
          <w:b/>
          <w:bCs/>
          <w:kern w:val="0"/>
          <w:sz w:val="32"/>
          <w:szCs w:val="32"/>
        </w:rPr>
      </w:pPr>
      <w:r>
        <w:rPr>
          <w:rFonts w:ascii="楷体_GB2312" w:eastAsia="楷体_GB2312" w:cs="仿宋" w:hint="eastAsia"/>
          <w:b/>
          <w:kern w:val="0"/>
          <w:sz w:val="32"/>
          <w:szCs w:val="32"/>
        </w:rPr>
        <w:t>（六）坚决打好打赢三大攻坚战。</w:t>
      </w:r>
      <w:r>
        <w:rPr>
          <w:rFonts w:ascii="仿宋_GB2312" w:eastAsia="仿宋_GB2312" w:cs="仿宋" w:hint="eastAsia"/>
          <w:kern w:val="0"/>
          <w:sz w:val="32"/>
          <w:szCs w:val="32"/>
        </w:rPr>
        <w:t>以打好三大攻坚战为重点,</w:t>
      </w:r>
      <w:r>
        <w:rPr>
          <w:rFonts w:ascii="仿宋_GB2312" w:eastAsia="仿宋_GB2312" w:cs="仿宋" w:hint="eastAsia"/>
          <w:kern w:val="0"/>
          <w:sz w:val="32"/>
          <w:szCs w:val="32"/>
        </w:rPr>
        <w:lastRenderedPageBreak/>
        <w:t>加快补齐全面建成小康社会短板。</w:t>
      </w:r>
      <w:r>
        <w:rPr>
          <w:rFonts w:ascii="仿宋_GB2312" w:eastAsia="仿宋_GB2312" w:hint="eastAsia"/>
          <w:b/>
          <w:kern w:val="0"/>
          <w:sz w:val="32"/>
        </w:rPr>
        <w:t>防范化解重大风险。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加强对处非工</w:t>
      </w:r>
      <w:r>
        <w:rPr>
          <w:rFonts w:ascii="仿宋_GB2312" w:eastAsia="仿宋_GB2312" w:cs="仿宋" w:hint="eastAsia"/>
          <w:kern w:val="0"/>
          <w:sz w:val="32"/>
          <w:szCs w:val="32"/>
        </w:rPr>
        <w:t>作指导，统筹公检法同步上案；加强企业排查力度，定期进行金融风险形势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研判，力争完成首次兑付或结案销号25起；严格规范政府融资担保行为，加强政府负债管控，实行总量控制、限额管理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强化经济运行监测预警，稳地价、稳房价、稳预期，全力化解电池厂、明珠花园二期等问题楼盘；坚持领导干部定期接访、带案下访、“四定四包”包案制度，完善信访事项受理机制；持续深入推进扫黑除恶专项斗争，扎实开展好“三无”区、“四无”镇（街道）和零访村（社区）创建活动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；</w:t>
      </w:r>
      <w:r>
        <w:rPr>
          <w:rFonts w:ascii="仿宋_GB2312" w:eastAsia="仿宋_GB2312" w:hint="eastAsia"/>
          <w:kern w:val="0"/>
          <w:sz w:val="32"/>
          <w:szCs w:val="32"/>
        </w:rPr>
        <w:t>持续完善安全生产和应急救援体系，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加快“智慧消防”建设，争创国家级、省级综合减灾（安全）示范社区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。</w:t>
      </w:r>
      <w:r>
        <w:rPr>
          <w:rStyle w:val="bjh-p"/>
          <w:rFonts w:ascii="仿宋_GB2312" w:eastAsia="仿宋_GB2312" w:hAnsi="Arial" w:cs="Arial" w:hint="eastAsia"/>
          <w:b/>
          <w:kern w:val="0"/>
          <w:sz w:val="32"/>
          <w:szCs w:val="32"/>
        </w:rPr>
        <w:t>加大污染防治力度。</w:t>
      </w:r>
      <w:r>
        <w:rPr>
          <w:rFonts w:ascii="仿宋_GB2312" w:eastAsia="仿宋_GB2312" w:hint="eastAsia"/>
          <w:bCs/>
          <w:kern w:val="0"/>
          <w:sz w:val="32"/>
        </w:rPr>
        <w:t>严格</w:t>
      </w:r>
      <w:r>
        <w:rPr>
          <w:rFonts w:ascii="仿宋_GB2312" w:eastAsia="仿宋_GB2312" w:hAnsi="宋体" w:cs="仿宋" w:hint="eastAsia"/>
          <w:bCs/>
          <w:kern w:val="0"/>
          <w:sz w:val="32"/>
          <w:szCs w:val="32"/>
        </w:rPr>
        <w:t>落实“三个体系、三个机制”</w:t>
      </w:r>
      <w:r>
        <w:rPr>
          <w:rFonts w:ascii="仿宋_GB2312" w:eastAsia="仿宋_GB2312" w:hAnsi="宋体" w:cs="仿宋" w:hint="eastAsia"/>
          <w:kern w:val="0"/>
          <w:sz w:val="32"/>
          <w:szCs w:val="32"/>
        </w:rPr>
        <w:t>和</w:t>
      </w:r>
      <w:r>
        <w:rPr>
          <w:rFonts w:ascii="仿宋_GB2312" w:eastAsia="仿宋_GB2312" w:hint="eastAsia"/>
          <w:kern w:val="0"/>
          <w:sz w:val="32"/>
          <w:szCs w:val="32"/>
        </w:rPr>
        <w:t>“环保检查，三交办”机制，强化3个国控站点重污染天气预警管控力度。健全“散乱污”动态清零等工作考核机制，</w:t>
      </w:r>
      <w:r>
        <w:rPr>
          <w:rStyle w:val="bjh-p"/>
          <w:rFonts w:ascii="仿宋_GB2312" w:eastAsia="仿宋_GB2312" w:hAnsi="仿宋_GB2312" w:cs="仿宋_GB2312" w:hint="eastAsia"/>
          <w:bCs/>
          <w:kern w:val="0"/>
          <w:sz w:val="32"/>
          <w:szCs w:val="32"/>
        </w:rPr>
        <w:t>以“铁心、铁腕、铁面”治理“三散”，</w:t>
      </w:r>
      <w:r>
        <w:rPr>
          <w:rFonts w:ascii="仿宋_GB2312" w:eastAsia="仿宋_GB2312" w:hint="eastAsia"/>
          <w:kern w:val="0"/>
          <w:sz w:val="32"/>
          <w:szCs w:val="32"/>
        </w:rPr>
        <w:t>加强环保问责，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确保全年</w:t>
      </w:r>
      <w:r>
        <w:rPr>
          <w:rFonts w:ascii="仿宋_GB2312" w:eastAsia="仿宋_GB2312" w:hAnsi="Arial" w:cs="Arial"/>
          <w:kern w:val="0"/>
          <w:sz w:val="32"/>
          <w:szCs w:val="32"/>
        </w:rPr>
        <w:t>PM</w:t>
      </w:r>
      <w:r>
        <w:rPr>
          <w:rFonts w:ascii="仿宋_GB2312" w:eastAsia="仿宋_GB2312" w:hAnsi="Arial" w:cs="Arial"/>
          <w:kern w:val="0"/>
          <w:sz w:val="32"/>
          <w:szCs w:val="32"/>
          <w:vertAlign w:val="subscript"/>
        </w:rPr>
        <w:t>10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>
        <w:rPr>
          <w:rFonts w:ascii="仿宋_GB2312" w:eastAsia="仿宋_GB2312" w:hAnsi="Arial" w:cs="Arial"/>
          <w:kern w:val="0"/>
          <w:sz w:val="32"/>
          <w:szCs w:val="32"/>
        </w:rPr>
        <w:t>PM</w:t>
      </w:r>
      <w:r>
        <w:rPr>
          <w:rFonts w:ascii="仿宋_GB2312" w:eastAsia="仿宋_GB2312" w:hAnsi="Arial" w:cs="Arial"/>
          <w:kern w:val="0"/>
          <w:sz w:val="32"/>
          <w:szCs w:val="32"/>
          <w:vertAlign w:val="subscript"/>
        </w:rPr>
        <w:t>2.5</w:t>
      </w:r>
      <w:r>
        <w:rPr>
          <w:rStyle w:val="bjh-p"/>
          <w:rFonts w:ascii="仿宋_GB2312" w:eastAsia="仿宋_GB2312" w:hAnsi="仿宋_GB2312" w:cs="仿宋_GB2312" w:hint="eastAsia"/>
          <w:bCs/>
          <w:kern w:val="0"/>
          <w:sz w:val="32"/>
          <w:szCs w:val="32"/>
        </w:rPr>
        <w:t>浓度显著降低，大气环境质量持续改善。严格落实“六控”措施，加强重型柴油货车等污染治理；安装工业企业污染物排放、餐饮油烟治理在线监测系统，全域禁燃禁放，道路实行“以克论净”。加快农村生活污水治理进度，实行乡镇河流断面水质自动监测，全面贯彻落实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河长制。</w:t>
      </w: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持续</w:t>
      </w:r>
      <w:r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做好扶弱帮困。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提高城乡弱困群众和边缘户生活水平，确保六类边缘户不转化为贫困户，解决好因病致贫等问题，持续做好对口帮扶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lastRenderedPageBreak/>
        <w:t>工作，统筹做好“两不愁三保障”工作。</w:t>
      </w:r>
    </w:p>
    <w:p w:rsidR="00306A2B" w:rsidRDefault="00555BAF" w:rsidP="001205D9">
      <w:pPr>
        <w:pBdr>
          <w:bottom w:val="single" w:sz="4" w:space="3" w:color="FFFFFF"/>
        </w:pBdr>
        <w:tabs>
          <w:tab w:val="left" w:pos="1440"/>
        </w:tabs>
        <w:spacing w:line="610" w:lineRule="exact"/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cs="仿宋" w:hint="eastAsia"/>
          <w:b/>
          <w:kern w:val="0"/>
          <w:sz w:val="32"/>
          <w:szCs w:val="32"/>
        </w:rPr>
        <w:t>（七）持续保障和改善民生福祉。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“多</w:t>
      </w:r>
      <w:r>
        <w:rPr>
          <w:rFonts w:ascii="仿宋_GB2312" w:eastAsia="仿宋_GB2312" w:hAnsi="仿宋" w:hint="eastAsia"/>
          <w:kern w:val="0"/>
          <w:sz w:val="32"/>
          <w:szCs w:val="32"/>
        </w:rPr>
        <w:t>谋民生之利、多解民生之忧”，切实解决好“一老一小”问题，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打造“10分钟读书圈”“10分钟健身圈”“10分钟生活圈”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  <w:r>
        <w:rPr>
          <w:rFonts w:ascii="仿宋_GB2312" w:eastAsia="仿宋_GB2312" w:hAnsi="楷体_GB2312" w:cs="楷体_GB2312" w:hint="eastAsia"/>
          <w:b/>
          <w:bCs/>
          <w:kern w:val="0"/>
          <w:sz w:val="32"/>
          <w:szCs w:val="32"/>
        </w:rPr>
        <w:t>优先发展教育事业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加大与剑桥教育、天立教育、北大附中等机构合作，积极引进优质教育资源；扩充教育资源三年建设规划，推动四十五中、国悦城创新路小学、</w:t>
      </w:r>
      <w:r>
        <w:rPr>
          <w:rFonts w:ascii="Times New Roman" w:eastAsia="仿宋_GB2312" w:hAnsi="Times New Roman"/>
          <w:kern w:val="0"/>
          <w:sz w:val="32"/>
          <w:szCs w:val="32"/>
        </w:rPr>
        <w:t>平原小学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等6所中小学以及3所公办幼儿园和1个职业教育中心开工建设；</w:t>
      </w:r>
      <w:r>
        <w:rPr>
          <w:rFonts w:ascii="Times New Roman" w:eastAsia="仿宋_GB2312" w:hAnsi="Times New Roman"/>
          <w:kern w:val="0"/>
          <w:sz w:val="32"/>
          <w:szCs w:val="32"/>
        </w:rPr>
        <w:t>加快在建项目建设进度，确保公村小学建成投用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加快农村校舍维修工程，改善农村办学条件；积极创建义务教育优质均衡区；创新全区青少年特长公益培训模式，构建覆盖全区的培训网络;完善中小学课后服务内容，优化课后服务安全管理。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大力建设健康红旗。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深化医疗改革，完善基本医保，完成就医“一卡通”改革，实现区公共卫生信息系统与省网互联互通；扎实推进妇幼、计生等各项民生工程，力争红旗医院和区公共卫生中心项目今年12月底建成使用；加快成立区医疗保障组织机构。开展健康中国行活动，推进社会足球场地和公共体育设施建设，全区城乡体育健身设施覆盖率100%。完善三级养老服务体系，建设1个区级综合养老服务中心、3个镇（办）级托老中心、6个社区居民养老服务站；加快社区老年人助餐点建设，形成老年助餐覆盖网络；提升红旗区老年大学服务能力，增设老年大学分校，丰富老年人的精神文化生活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统筹推进各项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lastRenderedPageBreak/>
        <w:t>社会民生事业。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加快乡镇和街道便民公共服务试点建设，加大“三馆”和“红旗书房”建设力度，力争基层文化服务中心全覆盖；以洪门镇为试点全面推进读书圈、健身圈建设。积极把握和落实扶持政策，加强职业技能培训，组织开展“春风行动”，促进高校毕业生、失业人员、农民工和退伍军人等重点群体多渠道就业创业，完成城镇新增就业8500人，城镇失业人员再就业2200人，就业困难人员就业590人。聚焦特殊群体、聚焦群众关切，兜住低保户、特困人员、孤儿、残疾人等困难群体，加快推进被征地农民基本养老保险制度落实，深入实施全民参保计划，做到动态管理、应保尽保、应救尽救。</w:t>
      </w:r>
      <w:r w:rsidR="007B2705">
        <w:rPr>
          <w:rFonts w:ascii="仿宋_GB2312" w:eastAsia="仿宋_GB2312" w:hAnsi="仿宋_GB2312" w:cs="仿宋_GB2312" w:hint="eastAsia"/>
          <w:kern w:val="0"/>
          <w:sz w:val="32"/>
          <w:szCs w:val="32"/>
        </w:rPr>
        <w:t>推进“互联网</w:t>
      </w:r>
      <w:r w:rsidR="007B2705">
        <w:rPr>
          <w:rFonts w:ascii="仿宋_GB2312" w:eastAsia="仿宋_GB2312" w:hAnsi="仿宋_GB2312" w:cs="仿宋_GB2312"/>
          <w:kern w:val="0"/>
          <w:sz w:val="32"/>
          <w:szCs w:val="32"/>
        </w:rPr>
        <w:t>+</w:t>
      </w:r>
      <w:r w:rsidR="007B2705">
        <w:rPr>
          <w:rFonts w:ascii="仿宋_GB2312" w:eastAsia="仿宋_GB2312" w:hAnsi="仿宋_GB2312" w:cs="仿宋_GB2312" w:hint="eastAsia"/>
          <w:kern w:val="0"/>
          <w:sz w:val="32"/>
          <w:szCs w:val="32"/>
        </w:rPr>
        <w:t>明厨亮灶”建设，</w:t>
      </w:r>
      <w:r w:rsidR="007B2705">
        <w:rPr>
          <w:rFonts w:ascii="仿宋_GB2312" w:eastAsia="仿宋_GB2312" w:hAnsi="仿宋" w:hint="eastAsia"/>
          <w:bCs/>
          <w:kern w:val="0"/>
          <w:sz w:val="32"/>
          <w:szCs w:val="32"/>
        </w:rPr>
        <w:t>争创省级食品安全示范区，打造</w:t>
      </w:r>
      <w:r w:rsidR="007B2705">
        <w:rPr>
          <w:rFonts w:ascii="仿宋_GB2312" w:eastAsia="仿宋_GB2312" w:hAnsi="仿宋_GB2312" w:cs="仿宋_GB2312" w:hint="eastAsia"/>
          <w:kern w:val="0"/>
          <w:sz w:val="32"/>
          <w:szCs w:val="32"/>
        </w:rPr>
        <w:t>食品安全示范街，守护百姓舌尖上的安全。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做好第七次全国人口普查工作。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统筹推进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包括爱国卫生、民族宗教、退役军人、双拥、武装、统战、统计、审计、科协、工青妇联等工作。</w:t>
      </w:r>
    </w:p>
    <w:p w:rsidR="00306A2B" w:rsidRDefault="00555BAF" w:rsidP="001205D9">
      <w:pPr>
        <w:pStyle w:val="a9"/>
        <w:widowControl w:val="0"/>
        <w:spacing w:before="0" w:beforeAutospacing="0" w:after="0" w:afterAutospacing="0" w:line="610" w:lineRule="exact"/>
        <w:ind w:firstLineChars="200" w:firstLine="643"/>
        <w:jc w:val="both"/>
        <w:rPr>
          <w:rFonts w:ascii="楷体_GB2312" w:eastAsia="楷体_GB2312" w:hAnsi="楷体_GB2312" w:cs="楷体_GB2312"/>
          <w:b/>
          <w:bCs/>
          <w:snapToGrid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sz w:val="32"/>
          <w:szCs w:val="32"/>
        </w:rPr>
        <w:t>（八）全面提升现代化治理能力。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深入开展“三讲三强”活动，着力建设人民满意的学习型、服务型、创新型、法治型、廉洁型政府。加强政治建设，树牢“四个意识”，坚定“四个自信”，坚决做到“两个维护”</w:t>
      </w:r>
      <w:r>
        <w:rPr>
          <w:rFonts w:ascii="仿宋_GB2312" w:eastAsia="仿宋_GB2312" w:hAnsi="Calibri" w:hint="eastAsia"/>
          <w:snapToGrid w:val="0"/>
          <w:sz w:val="32"/>
          <w:szCs w:val="32"/>
        </w:rPr>
        <w:t>。做好“七五”普法工作，</w:t>
      </w:r>
      <w:r>
        <w:rPr>
          <w:rFonts w:ascii="Times New Roman" w:eastAsia="仿宋_GB2312" w:hAnsi="Times New Roman" w:cs="Times New Roman"/>
          <w:sz w:val="32"/>
          <w:szCs w:val="32"/>
        </w:rPr>
        <w:t>深入推进服务型行政执法</w:t>
      </w:r>
      <w:r>
        <w:rPr>
          <w:rFonts w:ascii="仿宋_GB2312" w:eastAsia="仿宋_GB2312" w:hAnsi="Calibri" w:hint="eastAsia"/>
          <w:snapToGrid w:val="0"/>
          <w:sz w:val="32"/>
          <w:szCs w:val="32"/>
        </w:rPr>
        <w:t>，加强政府法律顾问团队，提升综合执法水平和决策法治化水平。依法接受人大监督，自觉接受政协民主监督，主动接受群众监督和舆论监督。实行“三单四专一台账”工作机制，</w:t>
      </w:r>
      <w:r>
        <w:rPr>
          <w:rFonts w:ascii="仿宋_GB2312" w:eastAsia="仿宋_GB2312" w:hAnsi="Calibri" w:hint="eastAsia"/>
          <w:snapToGrid w:val="0"/>
          <w:sz w:val="32"/>
          <w:szCs w:val="32"/>
        </w:rPr>
        <w:lastRenderedPageBreak/>
        <w:t>建立“鼓励激励、容错纠错、能上能下”激励机制</w:t>
      </w:r>
      <w:r w:rsidR="007B2705">
        <w:rPr>
          <w:rFonts w:ascii="仿宋_GB2312" w:eastAsia="仿宋_GB2312" w:hAnsi="Calibri" w:hint="eastAsia"/>
          <w:snapToGrid w:val="0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Calibri" w:hint="eastAsia"/>
          <w:snapToGrid w:val="0"/>
          <w:sz w:val="32"/>
          <w:szCs w:val="32"/>
        </w:rPr>
        <w:t>完善考核体系建设，让干部“想干、愿干、能干”。加强审计监督，打击数字造假，加大督导检查力度，健全问责处罚机制。切实履行“一岗双责”，持续深化“以案促改”，深入推进政府系统党风廉政建设，构建“不敢腐、不能腐、不想腐”的有效机制。</w:t>
      </w:r>
      <w:r>
        <w:rPr>
          <w:rFonts w:ascii="仿宋_GB2312" w:eastAsia="仿宋_GB2312" w:hAnsi="Calibri"/>
          <w:snapToGrid w:val="0"/>
          <w:sz w:val="32"/>
          <w:szCs w:val="32"/>
        </w:rPr>
        <w:t>树牢带头过紧日子思想</w:t>
      </w:r>
      <w:r>
        <w:rPr>
          <w:rFonts w:ascii="仿宋_GB2312" w:eastAsia="仿宋_GB2312" w:hAnsi="Calibri" w:hint="eastAsia"/>
          <w:snapToGrid w:val="0"/>
          <w:sz w:val="32"/>
          <w:szCs w:val="32"/>
        </w:rPr>
        <w:t>，提倡勤俭节约，坚持政务公开，控制“三公”经费。严格遵守中央八项规定，驰而不息纠“四风”、树新风。</w:t>
      </w:r>
    </w:p>
    <w:p w:rsidR="00306A2B" w:rsidRDefault="00555BAF" w:rsidP="00555BAF">
      <w:pPr>
        <w:spacing w:line="604" w:lineRule="exact"/>
        <w:ind w:firstLineChars="200" w:firstLine="640"/>
        <w:rPr>
          <w:kern w:val="0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各位代表，苦难铸就辉煌，实干赢得荣光。让我们在市委、市政府和区委的正确领导下，在区人大、区政协的监督支持下，不忘初心，牢记使命，锐意进取，奋勇争先，谱写“幸福红旗”“首善之区”新篇章，为新乡全面进入全省第一方阵贡献新的更大力量！</w:t>
      </w:r>
    </w:p>
    <w:p w:rsidR="00306A2B" w:rsidRDefault="00306A2B" w:rsidP="00555BAF">
      <w:pPr>
        <w:spacing w:line="598" w:lineRule="exact"/>
        <w:ind w:firstLineChars="200" w:firstLine="420"/>
        <w:rPr>
          <w:kern w:val="0"/>
        </w:rPr>
      </w:pPr>
    </w:p>
    <w:p w:rsidR="00306A2B" w:rsidRDefault="00306A2B" w:rsidP="00555BAF">
      <w:pPr>
        <w:pStyle w:val="a9"/>
        <w:widowControl w:val="0"/>
        <w:spacing w:before="0" w:beforeAutospacing="0" w:after="0" w:afterAutospacing="0" w:line="598" w:lineRule="exact"/>
        <w:ind w:firstLineChars="200" w:firstLine="480"/>
        <w:jc w:val="both"/>
      </w:pPr>
    </w:p>
    <w:sectPr w:rsidR="00306A2B" w:rsidSect="00555BAF">
      <w:footerReference w:type="even" r:id="rId8"/>
      <w:footerReference w:type="default" r:id="rId9"/>
      <w:pgSz w:w="11906" w:h="16838" w:code="9"/>
      <w:pgMar w:top="1985" w:right="1531" w:bottom="1701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6E" w:rsidRDefault="00A5006E">
      <w:r>
        <w:separator/>
      </w:r>
    </w:p>
  </w:endnote>
  <w:endnote w:type="continuationSeparator" w:id="0">
    <w:p w:rsidR="00A5006E" w:rsidRDefault="00A5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AF" w:rsidRPr="00555BAF" w:rsidRDefault="00555BAF">
    <w:pPr>
      <w:pStyle w:val="a6"/>
      <w:rPr>
        <w:rFonts w:ascii="Times New Roman" w:hAnsi="Times New Roman"/>
        <w:sz w:val="24"/>
      </w:rPr>
    </w:pPr>
    <w:r>
      <w:rPr>
        <w:rFonts w:ascii="Times New Roman" w:hAnsi="Times New Roman" w:hint="eastAsia"/>
        <w:sz w:val="24"/>
      </w:rPr>
      <w:t>—</w:t>
    </w:r>
    <w:r>
      <w:rPr>
        <w:rFonts w:ascii="Times New Roman" w:hAnsi="Times New Roman" w:hint="eastAsia"/>
        <w:sz w:val="24"/>
      </w:rPr>
      <w:t xml:space="preserve"> </w:t>
    </w:r>
    <w:r w:rsidRPr="00555BAF">
      <w:rPr>
        <w:rFonts w:ascii="Times New Roman" w:hAnsi="Times New Roman"/>
        <w:sz w:val="24"/>
      </w:rPr>
      <w:fldChar w:fldCharType="begin"/>
    </w:r>
    <w:r w:rsidRPr="00555BAF">
      <w:rPr>
        <w:rFonts w:ascii="Times New Roman" w:hAnsi="Times New Roman"/>
        <w:sz w:val="24"/>
      </w:rPr>
      <w:instrText>PAGE   \* MERGEFORMAT</w:instrText>
    </w:r>
    <w:r w:rsidRPr="00555BAF">
      <w:rPr>
        <w:rFonts w:ascii="Times New Roman" w:hAnsi="Times New Roman"/>
        <w:sz w:val="24"/>
      </w:rPr>
      <w:fldChar w:fldCharType="separate"/>
    </w:r>
    <w:r w:rsidR="007B2705" w:rsidRPr="007B2705">
      <w:rPr>
        <w:rFonts w:ascii="Times New Roman" w:hAnsi="Times New Roman"/>
        <w:noProof/>
        <w:sz w:val="24"/>
        <w:lang w:val="zh-CN"/>
      </w:rPr>
      <w:t>16</w:t>
    </w:r>
    <w:r w:rsidRPr="00555BAF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 w:hint="eastAsia"/>
        <w:sz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AF" w:rsidRPr="00555BAF" w:rsidRDefault="00555BAF" w:rsidP="00555BAF">
    <w:pPr>
      <w:pStyle w:val="a6"/>
      <w:jc w:val="right"/>
      <w:rPr>
        <w:rFonts w:ascii="Times New Roman" w:hAnsi="Times New Roman"/>
        <w:sz w:val="24"/>
      </w:rPr>
    </w:pPr>
    <w:r>
      <w:rPr>
        <w:rFonts w:ascii="Times New Roman" w:hAnsi="Times New Roman" w:hint="eastAsia"/>
        <w:sz w:val="24"/>
      </w:rPr>
      <w:t>—</w:t>
    </w:r>
    <w:r>
      <w:rPr>
        <w:rFonts w:ascii="Times New Roman" w:hAnsi="Times New Roman" w:hint="eastAsia"/>
        <w:sz w:val="24"/>
      </w:rPr>
      <w:t xml:space="preserve"> </w:t>
    </w:r>
    <w:r w:rsidRPr="00555BAF">
      <w:rPr>
        <w:rFonts w:ascii="Times New Roman" w:hAnsi="Times New Roman"/>
        <w:sz w:val="24"/>
      </w:rPr>
      <w:fldChar w:fldCharType="begin"/>
    </w:r>
    <w:r w:rsidRPr="00555BAF">
      <w:rPr>
        <w:rFonts w:ascii="Times New Roman" w:hAnsi="Times New Roman"/>
        <w:sz w:val="24"/>
      </w:rPr>
      <w:instrText>PAGE   \* MERGEFORMAT</w:instrText>
    </w:r>
    <w:r w:rsidRPr="00555BAF">
      <w:rPr>
        <w:rFonts w:ascii="Times New Roman" w:hAnsi="Times New Roman"/>
        <w:sz w:val="24"/>
      </w:rPr>
      <w:fldChar w:fldCharType="separate"/>
    </w:r>
    <w:r w:rsidR="007B2705" w:rsidRPr="007B2705">
      <w:rPr>
        <w:rFonts w:ascii="Times New Roman" w:hAnsi="Times New Roman"/>
        <w:noProof/>
        <w:sz w:val="24"/>
        <w:lang w:val="zh-CN"/>
      </w:rPr>
      <w:t>17</w:t>
    </w:r>
    <w:r w:rsidRPr="00555BAF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 w:hint="eastAsia"/>
        <w:sz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6E" w:rsidRDefault="00A5006E">
      <w:r>
        <w:separator/>
      </w:r>
    </w:p>
  </w:footnote>
  <w:footnote w:type="continuationSeparator" w:id="0">
    <w:p w:rsidR="00A5006E" w:rsidRDefault="00A50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3F"/>
    <w:rsid w:val="00001953"/>
    <w:rsid w:val="00005F53"/>
    <w:rsid w:val="000211DB"/>
    <w:rsid w:val="0002361F"/>
    <w:rsid w:val="00025195"/>
    <w:rsid w:val="00040C13"/>
    <w:rsid w:val="00046CCD"/>
    <w:rsid w:val="000705FB"/>
    <w:rsid w:val="00071F43"/>
    <w:rsid w:val="00075B04"/>
    <w:rsid w:val="000A03F3"/>
    <w:rsid w:val="000A23FF"/>
    <w:rsid w:val="000B15F5"/>
    <w:rsid w:val="000B513F"/>
    <w:rsid w:val="000B52A3"/>
    <w:rsid w:val="000C1BC4"/>
    <w:rsid w:val="000D119E"/>
    <w:rsid w:val="000D2A63"/>
    <w:rsid w:val="000D3276"/>
    <w:rsid w:val="000E0773"/>
    <w:rsid w:val="000F1ED1"/>
    <w:rsid w:val="000F3366"/>
    <w:rsid w:val="000F4200"/>
    <w:rsid w:val="001205D9"/>
    <w:rsid w:val="00132A90"/>
    <w:rsid w:val="001367A9"/>
    <w:rsid w:val="001417DA"/>
    <w:rsid w:val="0016645E"/>
    <w:rsid w:val="00194E03"/>
    <w:rsid w:val="001A0565"/>
    <w:rsid w:val="001A70C3"/>
    <w:rsid w:val="001B4671"/>
    <w:rsid w:val="001C504F"/>
    <w:rsid w:val="001F7CB4"/>
    <w:rsid w:val="00201408"/>
    <w:rsid w:val="00204A7F"/>
    <w:rsid w:val="002124ED"/>
    <w:rsid w:val="002132D2"/>
    <w:rsid w:val="00217427"/>
    <w:rsid w:val="002244BA"/>
    <w:rsid w:val="002433EC"/>
    <w:rsid w:val="00256126"/>
    <w:rsid w:val="0026519C"/>
    <w:rsid w:val="002667CB"/>
    <w:rsid w:val="00266AEA"/>
    <w:rsid w:val="00274931"/>
    <w:rsid w:val="0028138B"/>
    <w:rsid w:val="002A45EE"/>
    <w:rsid w:val="002B095D"/>
    <w:rsid w:val="002B4062"/>
    <w:rsid w:val="002C1021"/>
    <w:rsid w:val="002C192D"/>
    <w:rsid w:val="002C1A2A"/>
    <w:rsid w:val="002C531C"/>
    <w:rsid w:val="002C7DC7"/>
    <w:rsid w:val="002E3F99"/>
    <w:rsid w:val="002E6850"/>
    <w:rsid w:val="002F10DC"/>
    <w:rsid w:val="00300732"/>
    <w:rsid w:val="00306924"/>
    <w:rsid w:val="00306A2B"/>
    <w:rsid w:val="00315689"/>
    <w:rsid w:val="00325826"/>
    <w:rsid w:val="003433E9"/>
    <w:rsid w:val="003552B5"/>
    <w:rsid w:val="003562C9"/>
    <w:rsid w:val="003709A6"/>
    <w:rsid w:val="00374519"/>
    <w:rsid w:val="003871A2"/>
    <w:rsid w:val="0039258A"/>
    <w:rsid w:val="003A44F7"/>
    <w:rsid w:val="003A7589"/>
    <w:rsid w:val="003C7551"/>
    <w:rsid w:val="003D415E"/>
    <w:rsid w:val="003D6BDF"/>
    <w:rsid w:val="003E7940"/>
    <w:rsid w:val="003F2035"/>
    <w:rsid w:val="003F2597"/>
    <w:rsid w:val="00410C5A"/>
    <w:rsid w:val="00416273"/>
    <w:rsid w:val="00424F83"/>
    <w:rsid w:val="00434E11"/>
    <w:rsid w:val="004443B5"/>
    <w:rsid w:val="00444878"/>
    <w:rsid w:val="00444C15"/>
    <w:rsid w:val="00467B76"/>
    <w:rsid w:val="004756F6"/>
    <w:rsid w:val="00482DD8"/>
    <w:rsid w:val="0049402C"/>
    <w:rsid w:val="004A4D02"/>
    <w:rsid w:val="004B49A1"/>
    <w:rsid w:val="004C1670"/>
    <w:rsid w:val="004F3458"/>
    <w:rsid w:val="00510E0F"/>
    <w:rsid w:val="005127AC"/>
    <w:rsid w:val="00512DF7"/>
    <w:rsid w:val="00515309"/>
    <w:rsid w:val="00521883"/>
    <w:rsid w:val="0052753F"/>
    <w:rsid w:val="00535680"/>
    <w:rsid w:val="0055153C"/>
    <w:rsid w:val="0055167A"/>
    <w:rsid w:val="00552314"/>
    <w:rsid w:val="00555BAF"/>
    <w:rsid w:val="00562E59"/>
    <w:rsid w:val="00562FF8"/>
    <w:rsid w:val="00567385"/>
    <w:rsid w:val="0057185F"/>
    <w:rsid w:val="005750E9"/>
    <w:rsid w:val="00580D23"/>
    <w:rsid w:val="00582D17"/>
    <w:rsid w:val="0058652E"/>
    <w:rsid w:val="0059158D"/>
    <w:rsid w:val="0059265F"/>
    <w:rsid w:val="00596C50"/>
    <w:rsid w:val="005B1099"/>
    <w:rsid w:val="005C2290"/>
    <w:rsid w:val="005D5DC9"/>
    <w:rsid w:val="005D7B45"/>
    <w:rsid w:val="005D7C7D"/>
    <w:rsid w:val="0061415F"/>
    <w:rsid w:val="00622BFF"/>
    <w:rsid w:val="00630F58"/>
    <w:rsid w:val="006378AE"/>
    <w:rsid w:val="006378B2"/>
    <w:rsid w:val="00644391"/>
    <w:rsid w:val="00653487"/>
    <w:rsid w:val="00655C96"/>
    <w:rsid w:val="00663248"/>
    <w:rsid w:val="0067319B"/>
    <w:rsid w:val="00673E3B"/>
    <w:rsid w:val="00674DBC"/>
    <w:rsid w:val="006A3F7A"/>
    <w:rsid w:val="006C317C"/>
    <w:rsid w:val="006F4EE3"/>
    <w:rsid w:val="00720DA7"/>
    <w:rsid w:val="00725D5E"/>
    <w:rsid w:val="00731603"/>
    <w:rsid w:val="00734235"/>
    <w:rsid w:val="0073493B"/>
    <w:rsid w:val="00735B4E"/>
    <w:rsid w:val="00741FBF"/>
    <w:rsid w:val="007653E6"/>
    <w:rsid w:val="00771D41"/>
    <w:rsid w:val="00782428"/>
    <w:rsid w:val="007A1C31"/>
    <w:rsid w:val="007A1DAE"/>
    <w:rsid w:val="007A34C9"/>
    <w:rsid w:val="007A66BC"/>
    <w:rsid w:val="007A78F2"/>
    <w:rsid w:val="007B2705"/>
    <w:rsid w:val="007B7434"/>
    <w:rsid w:val="007C14B5"/>
    <w:rsid w:val="007E65FC"/>
    <w:rsid w:val="00804CEE"/>
    <w:rsid w:val="00807F6D"/>
    <w:rsid w:val="008158B3"/>
    <w:rsid w:val="00830404"/>
    <w:rsid w:val="008308E7"/>
    <w:rsid w:val="008318BE"/>
    <w:rsid w:val="00833021"/>
    <w:rsid w:val="008331C7"/>
    <w:rsid w:val="00833E22"/>
    <w:rsid w:val="00844896"/>
    <w:rsid w:val="00855C3A"/>
    <w:rsid w:val="0086349B"/>
    <w:rsid w:val="0086443C"/>
    <w:rsid w:val="00871E60"/>
    <w:rsid w:val="0088194D"/>
    <w:rsid w:val="00881CE9"/>
    <w:rsid w:val="008822F2"/>
    <w:rsid w:val="00883EA8"/>
    <w:rsid w:val="008847BA"/>
    <w:rsid w:val="008941DC"/>
    <w:rsid w:val="008A06C2"/>
    <w:rsid w:val="008A25D9"/>
    <w:rsid w:val="008A7DA4"/>
    <w:rsid w:val="008C7760"/>
    <w:rsid w:val="008D156D"/>
    <w:rsid w:val="008D28E8"/>
    <w:rsid w:val="008E417A"/>
    <w:rsid w:val="0090687F"/>
    <w:rsid w:val="0091302C"/>
    <w:rsid w:val="0092626A"/>
    <w:rsid w:val="00927547"/>
    <w:rsid w:val="009439EE"/>
    <w:rsid w:val="00962FE2"/>
    <w:rsid w:val="00967234"/>
    <w:rsid w:val="009700BB"/>
    <w:rsid w:val="00974444"/>
    <w:rsid w:val="009766CF"/>
    <w:rsid w:val="009823F0"/>
    <w:rsid w:val="009B0968"/>
    <w:rsid w:val="009B5016"/>
    <w:rsid w:val="009C1614"/>
    <w:rsid w:val="009D30B7"/>
    <w:rsid w:val="009D3BF9"/>
    <w:rsid w:val="009D782E"/>
    <w:rsid w:val="009D78ED"/>
    <w:rsid w:val="009E7C1A"/>
    <w:rsid w:val="00A025B9"/>
    <w:rsid w:val="00A02FF6"/>
    <w:rsid w:val="00A16945"/>
    <w:rsid w:val="00A20FEE"/>
    <w:rsid w:val="00A45777"/>
    <w:rsid w:val="00A4584C"/>
    <w:rsid w:val="00A45A98"/>
    <w:rsid w:val="00A5006E"/>
    <w:rsid w:val="00A55E2F"/>
    <w:rsid w:val="00A5677E"/>
    <w:rsid w:val="00A5745F"/>
    <w:rsid w:val="00A665C8"/>
    <w:rsid w:val="00A669EE"/>
    <w:rsid w:val="00A73006"/>
    <w:rsid w:val="00A74752"/>
    <w:rsid w:val="00A75B8D"/>
    <w:rsid w:val="00A77DA3"/>
    <w:rsid w:val="00AA41C1"/>
    <w:rsid w:val="00AB386D"/>
    <w:rsid w:val="00AB520B"/>
    <w:rsid w:val="00AC2123"/>
    <w:rsid w:val="00AC6C7F"/>
    <w:rsid w:val="00AD0134"/>
    <w:rsid w:val="00AD1795"/>
    <w:rsid w:val="00AD233E"/>
    <w:rsid w:val="00AD3EFA"/>
    <w:rsid w:val="00AD53DD"/>
    <w:rsid w:val="00AD740E"/>
    <w:rsid w:val="00AE0409"/>
    <w:rsid w:val="00AE3EFD"/>
    <w:rsid w:val="00AE682D"/>
    <w:rsid w:val="00AF19BC"/>
    <w:rsid w:val="00AF1DF7"/>
    <w:rsid w:val="00B03534"/>
    <w:rsid w:val="00B071B1"/>
    <w:rsid w:val="00B1400B"/>
    <w:rsid w:val="00B14EEA"/>
    <w:rsid w:val="00B21540"/>
    <w:rsid w:val="00B22BA0"/>
    <w:rsid w:val="00B24DA5"/>
    <w:rsid w:val="00B24EE7"/>
    <w:rsid w:val="00B5373C"/>
    <w:rsid w:val="00B67CEA"/>
    <w:rsid w:val="00B84EB5"/>
    <w:rsid w:val="00B90A87"/>
    <w:rsid w:val="00B9397E"/>
    <w:rsid w:val="00B944A7"/>
    <w:rsid w:val="00B95030"/>
    <w:rsid w:val="00B96364"/>
    <w:rsid w:val="00BA290F"/>
    <w:rsid w:val="00BA6317"/>
    <w:rsid w:val="00BB3C2D"/>
    <w:rsid w:val="00BC5CC9"/>
    <w:rsid w:val="00BE3AC3"/>
    <w:rsid w:val="00BF55EC"/>
    <w:rsid w:val="00C1300F"/>
    <w:rsid w:val="00C24381"/>
    <w:rsid w:val="00C26A8D"/>
    <w:rsid w:val="00C27911"/>
    <w:rsid w:val="00C42C5C"/>
    <w:rsid w:val="00C44CFF"/>
    <w:rsid w:val="00C526A9"/>
    <w:rsid w:val="00C570A8"/>
    <w:rsid w:val="00C579EF"/>
    <w:rsid w:val="00C620AE"/>
    <w:rsid w:val="00C65E43"/>
    <w:rsid w:val="00C67B8A"/>
    <w:rsid w:val="00C74AFD"/>
    <w:rsid w:val="00CA7579"/>
    <w:rsid w:val="00CB0AD4"/>
    <w:rsid w:val="00CB4ECA"/>
    <w:rsid w:val="00CD7C57"/>
    <w:rsid w:val="00CF0EC3"/>
    <w:rsid w:val="00CF3363"/>
    <w:rsid w:val="00CF4FA1"/>
    <w:rsid w:val="00D17BAA"/>
    <w:rsid w:val="00D24FCD"/>
    <w:rsid w:val="00D3776B"/>
    <w:rsid w:val="00D52608"/>
    <w:rsid w:val="00D66B7D"/>
    <w:rsid w:val="00D672ED"/>
    <w:rsid w:val="00D72C3A"/>
    <w:rsid w:val="00D828C1"/>
    <w:rsid w:val="00D87C41"/>
    <w:rsid w:val="00D90FBE"/>
    <w:rsid w:val="00DA5C3A"/>
    <w:rsid w:val="00DB0D4A"/>
    <w:rsid w:val="00DB3DD1"/>
    <w:rsid w:val="00DC5B0C"/>
    <w:rsid w:val="00DD4AE3"/>
    <w:rsid w:val="00DE1ED1"/>
    <w:rsid w:val="00DE47A6"/>
    <w:rsid w:val="00DE794C"/>
    <w:rsid w:val="00DE7C0B"/>
    <w:rsid w:val="00DF6CFE"/>
    <w:rsid w:val="00E01496"/>
    <w:rsid w:val="00E01583"/>
    <w:rsid w:val="00E01AC5"/>
    <w:rsid w:val="00E02E13"/>
    <w:rsid w:val="00E03D7C"/>
    <w:rsid w:val="00E04F56"/>
    <w:rsid w:val="00E10329"/>
    <w:rsid w:val="00E24F69"/>
    <w:rsid w:val="00E60CA8"/>
    <w:rsid w:val="00E61085"/>
    <w:rsid w:val="00E72B67"/>
    <w:rsid w:val="00E85C3D"/>
    <w:rsid w:val="00E91D6B"/>
    <w:rsid w:val="00E93FE8"/>
    <w:rsid w:val="00EA1BB8"/>
    <w:rsid w:val="00EB3700"/>
    <w:rsid w:val="00EC568B"/>
    <w:rsid w:val="00ED0C2F"/>
    <w:rsid w:val="00ED3615"/>
    <w:rsid w:val="00ED6772"/>
    <w:rsid w:val="00EE4447"/>
    <w:rsid w:val="00EF163D"/>
    <w:rsid w:val="00F03BAA"/>
    <w:rsid w:val="00F041CE"/>
    <w:rsid w:val="00F13B5B"/>
    <w:rsid w:val="00F240D2"/>
    <w:rsid w:val="00F40FCE"/>
    <w:rsid w:val="00F42123"/>
    <w:rsid w:val="00F47CE5"/>
    <w:rsid w:val="00F47EF9"/>
    <w:rsid w:val="00F531BD"/>
    <w:rsid w:val="00F56721"/>
    <w:rsid w:val="00F56A3B"/>
    <w:rsid w:val="00F57AF7"/>
    <w:rsid w:val="00F73A85"/>
    <w:rsid w:val="00F863A2"/>
    <w:rsid w:val="00F873B6"/>
    <w:rsid w:val="00F932EF"/>
    <w:rsid w:val="00FC742C"/>
    <w:rsid w:val="00FE4390"/>
    <w:rsid w:val="00FF5E05"/>
    <w:rsid w:val="00FF7947"/>
    <w:rsid w:val="01600DD7"/>
    <w:rsid w:val="084146CA"/>
    <w:rsid w:val="086B19F3"/>
    <w:rsid w:val="0C3119FF"/>
    <w:rsid w:val="0F4F0BB4"/>
    <w:rsid w:val="0FC31007"/>
    <w:rsid w:val="10A223FC"/>
    <w:rsid w:val="10DB16D9"/>
    <w:rsid w:val="11D1005A"/>
    <w:rsid w:val="12402965"/>
    <w:rsid w:val="12AD1866"/>
    <w:rsid w:val="18046B7C"/>
    <w:rsid w:val="243149FA"/>
    <w:rsid w:val="28C629D3"/>
    <w:rsid w:val="32304D9D"/>
    <w:rsid w:val="3ACC3B4F"/>
    <w:rsid w:val="47CB18FD"/>
    <w:rsid w:val="482E42F1"/>
    <w:rsid w:val="48507F8E"/>
    <w:rsid w:val="4D1808D3"/>
    <w:rsid w:val="4E434F96"/>
    <w:rsid w:val="51237664"/>
    <w:rsid w:val="593C1DA9"/>
    <w:rsid w:val="60CB61D8"/>
    <w:rsid w:val="61220015"/>
    <w:rsid w:val="65356E3E"/>
    <w:rsid w:val="6562101C"/>
    <w:rsid w:val="68E727D1"/>
    <w:rsid w:val="74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5BE021"/>
  <w15:docId w15:val="{1A4A93F1-249A-4B44-B567-339E358E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napToGrid w:val="0"/>
    </w:pPr>
    <w:rPr>
      <w:rFonts w:ascii="Times New Roman" w:eastAsia="仿宋_GB2312" w:hAnsi="Times New Roman"/>
      <w:kern w:val="0"/>
      <w:sz w:val="32"/>
      <w:szCs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99"/>
    <w:qFormat/>
    <w:rPr>
      <w:rFonts w:cs="Times New Roman"/>
      <w:b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bjh-p">
    <w:name w:val="bjh-p"/>
    <w:uiPriority w:val="99"/>
    <w:qFormat/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2FDD20-34A7-4809-A60A-3244CC66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1606</Words>
  <Characters>9160</Characters>
  <Application>Microsoft Office Word</Application>
  <DocSecurity>0</DocSecurity>
  <Lines>76</Lines>
  <Paragraphs>21</Paragraphs>
  <ScaleCrop>false</ScaleCrop>
  <Company>shendu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叫我很美味</dc:creator>
  <cp:lastModifiedBy>Windows User</cp:lastModifiedBy>
  <cp:revision>5</cp:revision>
  <cp:lastPrinted>2020-05-30T13:10:00Z</cp:lastPrinted>
  <dcterms:created xsi:type="dcterms:W3CDTF">2020-05-30T16:21:00Z</dcterms:created>
  <dcterms:modified xsi:type="dcterms:W3CDTF">2020-05-30T17:25:00Z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