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方正小标宋简体" w:hAnsi="方正小标宋简体" w:eastAsia="方正小标宋简体" w:cs="方正小标宋简体"/>
          <w:b/>
          <w:bCs/>
          <w:sz w:val="44"/>
          <w:szCs w:val="44"/>
          <w:lang w:val="en-US" w:eastAsia="zh-CN"/>
        </w:rPr>
      </w:pPr>
      <w:r>
        <w:rPr>
          <w:rFonts w:hint="eastAsia" w:ascii="方正小标宋简体" w:hAnsi="方正小标宋简体" w:eastAsia="方正小标宋简体" w:cs="方正小标宋简体"/>
          <w:b/>
          <w:bCs/>
          <w:sz w:val="44"/>
          <w:szCs w:val="44"/>
          <w:lang w:eastAsia="zh-CN"/>
        </w:rPr>
        <w:t>红旗区</w:t>
      </w:r>
      <w:r>
        <w:rPr>
          <w:rFonts w:hint="eastAsia" w:ascii="方正小标宋简体" w:hAnsi="方正小标宋简体" w:eastAsia="方正小标宋简体" w:cs="方正小标宋简体"/>
          <w:b/>
          <w:bCs/>
          <w:sz w:val="44"/>
          <w:szCs w:val="44"/>
          <w:lang w:val="en-US" w:eastAsia="zh-CN"/>
        </w:rPr>
        <w:t>2021年度</w:t>
      </w:r>
    </w:p>
    <w:p>
      <w:pPr>
        <w:jc w:val="center"/>
        <w:rPr>
          <w:rFonts w:hint="eastAsia" w:ascii="方正小标宋简体" w:hAnsi="方正小标宋简体" w:eastAsia="方正小标宋简体" w:cs="方正小标宋简体"/>
          <w:b/>
          <w:bCs/>
          <w:sz w:val="44"/>
          <w:szCs w:val="44"/>
          <w:lang w:eastAsia="zh-CN"/>
        </w:rPr>
      </w:pPr>
      <w:r>
        <w:rPr>
          <w:rFonts w:hint="eastAsia" w:ascii="方正小标宋简体" w:hAnsi="方正小标宋简体" w:eastAsia="方正小标宋简体" w:cs="方正小标宋简体"/>
          <w:b/>
          <w:bCs/>
          <w:sz w:val="44"/>
          <w:szCs w:val="44"/>
        </w:rPr>
        <w:t>预算绩效管理工作</w:t>
      </w:r>
      <w:r>
        <w:rPr>
          <w:rFonts w:hint="eastAsia" w:ascii="方正小标宋简体" w:hAnsi="方正小标宋简体" w:eastAsia="方正小标宋简体" w:cs="方正小标宋简体"/>
          <w:b/>
          <w:bCs/>
          <w:sz w:val="44"/>
          <w:szCs w:val="44"/>
          <w:lang w:eastAsia="zh-CN"/>
        </w:rPr>
        <w:t>总结</w:t>
      </w:r>
    </w:p>
    <w:p>
      <w:pPr>
        <w:pStyle w:val="2"/>
        <w:rPr>
          <w:rFonts w:hint="eastAsia" w:ascii="仿宋_GB2312" w:hAnsi="仿宋_GB2312" w:eastAsia="仿宋_GB2312" w:cs="仿宋_GB2312"/>
          <w:kern w:val="2"/>
          <w:sz w:val="32"/>
          <w:szCs w:val="32"/>
          <w:lang w:val="en-US" w:eastAsia="zh-CN" w:bidi="ar-SA"/>
        </w:rPr>
      </w:pPr>
    </w:p>
    <w:p>
      <w:pPr>
        <w:ind w:firstLine="642"/>
        <w:rPr>
          <w:rFonts w:hint="eastAsia" w:ascii="仿宋" w:hAnsi="仿宋" w:eastAsia="仿宋" w:cs="仿宋"/>
          <w:sz w:val="32"/>
          <w:szCs w:val="32"/>
          <w:lang w:val="en-US" w:eastAsia="zh-CN"/>
        </w:rPr>
      </w:pPr>
      <w:r>
        <w:rPr>
          <w:rFonts w:hint="eastAsia" w:ascii="仿宋" w:hAnsi="仿宋" w:eastAsia="仿宋" w:cs="仿宋"/>
          <w:sz w:val="32"/>
          <w:szCs w:val="32"/>
        </w:rPr>
        <w:t>为贯彻</w:t>
      </w:r>
      <w:r>
        <w:rPr>
          <w:rFonts w:hint="eastAsia" w:ascii="仿宋" w:hAnsi="仿宋" w:eastAsia="仿宋" w:cs="仿宋"/>
          <w:sz w:val="32"/>
          <w:szCs w:val="32"/>
          <w:lang w:eastAsia="zh-CN"/>
        </w:rPr>
        <w:t>落实</w:t>
      </w:r>
      <w:r>
        <w:rPr>
          <w:rFonts w:hint="eastAsia" w:ascii="仿宋_GB2312" w:hAnsi="仿宋_GB2312" w:eastAsia="仿宋_GB2312" w:cs="仿宋_GB2312"/>
          <w:sz w:val="32"/>
          <w:szCs w:val="32"/>
          <w:lang w:val="en-US" w:eastAsia="zh-CN"/>
        </w:rPr>
        <w:t>《中共新乡市委办公室、新乡市人民政府办公室关于贯彻落实豫发〔2019〕10号精神全面实施预算绩效管理的通知》（新办文〔2020〕10号）和</w:t>
      </w:r>
      <w:r>
        <w:rPr>
          <w:rFonts w:hint="eastAsia" w:ascii="仿宋" w:hAnsi="仿宋" w:eastAsia="仿宋" w:cs="仿宋"/>
          <w:sz w:val="32"/>
          <w:szCs w:val="32"/>
        </w:rPr>
        <w:t>《新乡市财政局关于进一步加强全面预算绩效管理工作的通知》</w:t>
      </w:r>
      <w:r>
        <w:rPr>
          <w:rFonts w:hint="eastAsia" w:ascii="仿宋" w:hAnsi="仿宋" w:eastAsia="仿宋" w:cs="仿宋"/>
          <w:sz w:val="32"/>
          <w:szCs w:val="32"/>
          <w:lang w:eastAsia="zh-CN"/>
        </w:rPr>
        <w:t>（</w:t>
      </w:r>
      <w:r>
        <w:rPr>
          <w:rFonts w:hint="eastAsia" w:ascii="仿宋" w:hAnsi="仿宋" w:eastAsia="仿宋" w:cs="仿宋"/>
          <w:sz w:val="32"/>
          <w:szCs w:val="32"/>
        </w:rPr>
        <w:t>新财效</w:t>
      </w:r>
      <w:r>
        <w:rPr>
          <w:rFonts w:hint="eastAsia" w:ascii="仿宋" w:hAnsi="仿宋" w:eastAsia="仿宋" w:cs="仿宋"/>
          <w:sz w:val="32"/>
          <w:szCs w:val="32"/>
          <w:lang w:val="en-US" w:eastAsia="zh-CN"/>
        </w:rPr>
        <w:t>【</w:t>
      </w:r>
      <w:r>
        <w:rPr>
          <w:rFonts w:hint="eastAsia" w:ascii="仿宋" w:hAnsi="仿宋" w:eastAsia="仿宋" w:cs="仿宋"/>
          <w:sz w:val="32"/>
          <w:szCs w:val="32"/>
        </w:rPr>
        <w:t>2021</w:t>
      </w:r>
      <w:r>
        <w:rPr>
          <w:rFonts w:hint="eastAsia" w:ascii="仿宋" w:hAnsi="仿宋" w:eastAsia="仿宋" w:cs="仿宋"/>
          <w:sz w:val="32"/>
          <w:szCs w:val="32"/>
          <w:lang w:val="en-US" w:eastAsia="zh-CN"/>
        </w:rPr>
        <w:t>】</w:t>
      </w:r>
      <w:r>
        <w:rPr>
          <w:rFonts w:hint="eastAsia" w:ascii="仿宋" w:hAnsi="仿宋" w:eastAsia="仿宋" w:cs="仿宋"/>
          <w:sz w:val="32"/>
          <w:szCs w:val="32"/>
        </w:rPr>
        <w:t>2号</w:t>
      </w:r>
      <w:r>
        <w:rPr>
          <w:rFonts w:hint="eastAsia" w:ascii="仿宋" w:hAnsi="仿宋" w:eastAsia="仿宋" w:cs="仿宋"/>
          <w:sz w:val="32"/>
          <w:szCs w:val="32"/>
          <w:lang w:eastAsia="zh-CN"/>
        </w:rPr>
        <w:t>）</w:t>
      </w:r>
      <w:r>
        <w:rPr>
          <w:rFonts w:hint="eastAsia" w:ascii="仿宋" w:hAnsi="仿宋" w:eastAsia="仿宋" w:cs="仿宋"/>
          <w:sz w:val="32"/>
          <w:szCs w:val="32"/>
        </w:rPr>
        <w:t>文件精神</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红旗</w:t>
      </w:r>
      <w:bookmarkStart w:id="0" w:name="_GoBack"/>
      <w:bookmarkEnd w:id="0"/>
      <w:r>
        <w:rPr>
          <w:rFonts w:hint="eastAsia" w:ascii="仿宋" w:hAnsi="仿宋" w:eastAsia="仿宋" w:cs="仿宋"/>
          <w:sz w:val="32"/>
          <w:szCs w:val="32"/>
          <w:lang w:val="en-US" w:eastAsia="zh-CN"/>
        </w:rPr>
        <w:t>区委区政府高度重视预算绩效管理工作，成立了预算绩效管理领导小组，并安排区财政局负责落实预算绩效管理工作的实施和推进。2021年红旗区预算绩效管理工作取得了一定的成效，同时也存在一定的问题和不足之处，现将一年来预算绩效管理工作总结如下：</w:t>
      </w:r>
    </w:p>
    <w:p>
      <w:pPr>
        <w:pStyle w:val="2"/>
        <w:numPr>
          <w:ilvl w:val="0"/>
          <w:numId w:val="0"/>
        </w:numPr>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一、预算绩效管理工作前期准备情况</w:t>
      </w:r>
    </w:p>
    <w:p>
      <w:pPr>
        <w:pStyle w:val="2"/>
        <w:numPr>
          <w:ilvl w:val="0"/>
          <w:numId w:val="0"/>
        </w:numPr>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（一）制度保障</w:t>
      </w:r>
    </w:p>
    <w:p>
      <w:pPr>
        <w:ind w:firstLine="640" w:firstLineChars="200"/>
        <w:rPr>
          <w:rFonts w:hint="eastAsia" w:asci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为了全面实施全区预算绩效管理工作，促使全区预算单位深刻理解预算绩效管理工作的意义，首先从制度层面予以保障，陆续制定了《中共红旗区委办公室  红旗区人民政府办公室关于贯彻落实新办文〔2020〕10号精神全面实施预算绩效管理的通知》、《关于印发&lt;红旗区区级预算绩效目标管理办法（试行）&gt;的通知》、《关于印发&lt;红旗区区级预算绩效运行监控管理办法（试行）&gt;的通知》、《关于印发&lt;红旗区财政局预算绩效管理内部工作规程&gt;的通知》、《转发&lt;关于建立全面实施预算绩效管理工作协同联动机制的意见&gt;的通知》、《关于转发&lt;新乡市财政局关于转发共性项目绩效指标体系（试行）的通知&gt;》等文件</w:t>
      </w:r>
      <w:r>
        <w:rPr>
          <w:rFonts w:hint="eastAsia" w:ascii="仿宋_GB2312" w:eastAsia="仿宋_GB2312" w:cs="仿宋_GB2312"/>
          <w:sz w:val="32"/>
          <w:szCs w:val="32"/>
          <w:lang w:val="en-US" w:eastAsia="zh-CN"/>
        </w:rPr>
        <w:t>。</w:t>
      </w:r>
    </w:p>
    <w:p>
      <w:pPr>
        <w:pStyle w:val="2"/>
        <w:numPr>
          <w:ilvl w:val="0"/>
          <w:numId w:val="0"/>
        </w:numPr>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（二）组织和经费保障</w:t>
      </w:r>
    </w:p>
    <w:p>
      <w:pPr>
        <w:pStyle w:val="2"/>
        <w:numPr>
          <w:ilvl w:val="0"/>
          <w:numId w:val="0"/>
        </w:numPr>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区财政局安排预算科作为预算绩效管理工作牵头科室，并明确财政局内部科室参与预算绩效管理的职责和分工。同时2021年安排预算绩效管理工作经费30万元，用于组织开展预算绩效管理工作之需。</w:t>
      </w:r>
    </w:p>
    <w:p>
      <w:pPr>
        <w:pStyle w:val="2"/>
        <w:numPr>
          <w:ilvl w:val="0"/>
          <w:numId w:val="0"/>
        </w:numPr>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（三）宣传培训保障</w:t>
      </w:r>
    </w:p>
    <w:p>
      <w:pPr>
        <w:pStyle w:val="2"/>
        <w:numPr>
          <w:ilvl w:val="0"/>
          <w:numId w:val="0"/>
        </w:num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基于全区预算单位需进一步了解预算绩效管理工作，以便于开展具体实施工作，首先通过红旗区财政简报宣传绩效管理工作，其次通过建立微信工作群进行业务沟通交流。</w:t>
      </w:r>
    </w:p>
    <w:p>
      <w:pPr>
        <w:pStyle w:val="2"/>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另外安排中科江南公司对各预算单位（部门）进行预算管理工作实操业务培训。</w:t>
      </w:r>
    </w:p>
    <w:p>
      <w:pPr>
        <w:pStyle w:val="2"/>
        <w:numPr>
          <w:ilvl w:val="0"/>
          <w:numId w:val="0"/>
        </w:numPr>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二、预算绩效管理工作主要成效</w:t>
      </w:r>
    </w:p>
    <w:p>
      <w:pPr>
        <w:pStyle w:val="2"/>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（一）引入第三方专业机构参与预算绩效管理工作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率先在全市所有县（市、区）中第一个通过公开招标方式聘用两家第三方专业机构对预算绩效管理工作进行全流程指导，对全区10个重点项目（涉及专项债券项目、百城提质项目、重点民生工程项目等10359万元）和2个部门整体开展重点绩效评价</w:t>
      </w:r>
      <w:r>
        <w:rPr>
          <w:rFonts w:hint="eastAsia" w:ascii="仿宋_GB2312" w:hAnsi="仿宋_GB2312" w:eastAsia="仿宋_GB2312" w:cs="仿宋_GB2312"/>
          <w:sz w:val="32"/>
          <w:szCs w:val="32"/>
          <w:lang w:val="en-US" w:eastAsia="zh-CN"/>
        </w:rPr>
        <w:t>工作</w:t>
      </w:r>
      <w:r>
        <w:rPr>
          <w:rFonts w:hint="eastAsia" w:ascii="仿宋_GB2312" w:hAnsi="仿宋_GB2312" w:eastAsia="仿宋_GB2312" w:cs="仿宋_GB2312"/>
          <w:sz w:val="32"/>
          <w:szCs w:val="32"/>
        </w:rPr>
        <w:t>。</w:t>
      </w:r>
    </w:p>
    <w:p>
      <w:pPr>
        <w:pStyle w:val="2"/>
        <w:rPr>
          <w:rFonts w:hint="default" w:eastAsia="仿宋_GB231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二）明确部门预算绩效管理工作具体内容</w:t>
      </w:r>
    </w:p>
    <w:p>
      <w:pPr>
        <w:pStyle w:val="2"/>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通过前期准备工作的开展，明确部门预算绩效管理工作的具体内容，包括但不限于</w:t>
      </w:r>
      <w:r>
        <w:rPr>
          <w:rFonts w:hint="eastAsia" w:ascii="仿宋" w:hAnsi="仿宋" w:eastAsia="仿宋" w:cs="仿宋"/>
          <w:sz w:val="32"/>
          <w:szCs w:val="32"/>
        </w:rPr>
        <w:t>《预算项目绩效目标自评表</w:t>
      </w:r>
      <w:r>
        <w:rPr>
          <w:rFonts w:hint="eastAsia" w:ascii="仿宋" w:hAnsi="仿宋" w:eastAsia="仿宋" w:cs="仿宋"/>
          <w:sz w:val="32"/>
          <w:szCs w:val="32"/>
          <w:lang w:eastAsia="zh-CN"/>
        </w:rPr>
        <w:t>、自评报告</w:t>
      </w:r>
      <w:r>
        <w:rPr>
          <w:rFonts w:hint="eastAsia" w:ascii="仿宋" w:hAnsi="仿宋" w:eastAsia="仿宋" w:cs="仿宋"/>
          <w:sz w:val="32"/>
          <w:szCs w:val="32"/>
        </w:rPr>
        <w:t>》</w:t>
      </w:r>
      <w:r>
        <w:rPr>
          <w:rFonts w:hint="eastAsia" w:ascii="仿宋" w:hAnsi="仿宋" w:eastAsia="仿宋" w:cs="仿宋"/>
          <w:sz w:val="32"/>
          <w:szCs w:val="32"/>
          <w:lang w:eastAsia="zh-CN"/>
        </w:rPr>
        <w:t>、</w:t>
      </w:r>
      <w:r>
        <w:rPr>
          <w:rFonts w:hint="eastAsia" w:ascii="仿宋" w:hAnsi="仿宋" w:eastAsia="仿宋" w:cs="仿宋"/>
          <w:sz w:val="32"/>
          <w:szCs w:val="32"/>
        </w:rPr>
        <w:t>《预算项目绩效目标申报</w:t>
      </w:r>
      <w:r>
        <w:rPr>
          <w:rFonts w:hint="eastAsia" w:ascii="仿宋" w:hAnsi="仿宋" w:eastAsia="仿宋" w:cs="仿宋"/>
          <w:sz w:val="32"/>
          <w:szCs w:val="32"/>
          <w:lang w:eastAsia="zh-CN"/>
        </w:rPr>
        <w:t>表</w:t>
      </w:r>
      <w:r>
        <w:rPr>
          <w:rFonts w:hint="eastAsia" w:ascii="仿宋" w:hAnsi="仿宋" w:eastAsia="仿宋" w:cs="仿宋"/>
          <w:sz w:val="32"/>
          <w:szCs w:val="32"/>
        </w:rPr>
        <w:t>、监控</w:t>
      </w:r>
      <w:r>
        <w:rPr>
          <w:rFonts w:hint="eastAsia" w:ascii="仿宋" w:hAnsi="仿宋" w:eastAsia="仿宋" w:cs="仿宋"/>
          <w:sz w:val="32"/>
          <w:szCs w:val="32"/>
          <w:lang w:eastAsia="zh-CN"/>
        </w:rPr>
        <w:t>表</w:t>
      </w:r>
      <w:r>
        <w:rPr>
          <w:rFonts w:hint="eastAsia" w:ascii="仿宋" w:hAnsi="仿宋" w:eastAsia="仿宋" w:cs="仿宋"/>
          <w:sz w:val="32"/>
          <w:szCs w:val="32"/>
        </w:rPr>
        <w:t>、</w:t>
      </w:r>
      <w:r>
        <w:rPr>
          <w:rFonts w:hint="eastAsia" w:ascii="仿宋" w:hAnsi="仿宋" w:eastAsia="仿宋" w:cs="仿宋"/>
          <w:sz w:val="32"/>
          <w:szCs w:val="32"/>
          <w:lang w:eastAsia="zh-CN"/>
        </w:rPr>
        <w:t>监控报告</w:t>
      </w:r>
      <w:r>
        <w:rPr>
          <w:rFonts w:hint="eastAsia" w:ascii="仿宋" w:hAnsi="仿宋" w:eastAsia="仿宋" w:cs="仿宋"/>
          <w:sz w:val="32"/>
          <w:szCs w:val="32"/>
        </w:rPr>
        <w:t>》</w:t>
      </w:r>
      <w:r>
        <w:rPr>
          <w:rFonts w:hint="eastAsia" w:ascii="仿宋" w:hAnsi="仿宋" w:eastAsia="仿宋" w:cs="仿宋"/>
          <w:sz w:val="32"/>
          <w:szCs w:val="32"/>
          <w:lang w:eastAsia="zh-CN"/>
        </w:rPr>
        <w:t>、</w:t>
      </w:r>
      <w:r>
        <w:rPr>
          <w:rFonts w:hint="eastAsia" w:ascii="仿宋" w:hAnsi="仿宋" w:eastAsia="仿宋" w:cs="仿宋"/>
          <w:sz w:val="32"/>
          <w:szCs w:val="32"/>
        </w:rPr>
        <w:t>《事前项目绩效</w:t>
      </w:r>
      <w:r>
        <w:rPr>
          <w:rFonts w:hint="eastAsia" w:ascii="仿宋" w:hAnsi="仿宋" w:eastAsia="仿宋" w:cs="仿宋"/>
          <w:sz w:val="32"/>
          <w:szCs w:val="32"/>
          <w:lang w:eastAsia="zh-CN"/>
        </w:rPr>
        <w:t>目标申报表</w:t>
      </w:r>
      <w:r>
        <w:rPr>
          <w:rFonts w:hint="eastAsia" w:ascii="仿宋" w:hAnsi="仿宋" w:eastAsia="仿宋" w:cs="仿宋"/>
          <w:sz w:val="32"/>
          <w:szCs w:val="32"/>
        </w:rPr>
        <w:t>》</w:t>
      </w:r>
      <w:r>
        <w:rPr>
          <w:rFonts w:hint="eastAsia" w:ascii="仿宋" w:hAnsi="仿宋" w:eastAsia="仿宋" w:cs="仿宋"/>
          <w:sz w:val="32"/>
          <w:szCs w:val="32"/>
          <w:lang w:eastAsia="zh-CN"/>
        </w:rPr>
        <w:t>、</w:t>
      </w:r>
      <w:r>
        <w:rPr>
          <w:rFonts w:hint="eastAsia" w:ascii="仿宋" w:hAnsi="仿宋" w:eastAsia="仿宋" w:cs="仿宋"/>
          <w:sz w:val="32"/>
          <w:szCs w:val="32"/>
        </w:rPr>
        <w:t>《事前项目绩效评估报告》</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《部门整体支出绩效目标自评表、自评报告》、《部门整体支出绩效目标申报表、监控表、监控报告》等。</w:t>
      </w:r>
    </w:p>
    <w:p>
      <w:pPr>
        <w:pStyle w:val="2"/>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（三）全面指导监督部门预算绩效管理工作</w:t>
      </w:r>
    </w:p>
    <w:p>
      <w:pPr>
        <w:pStyle w:val="2"/>
        <w:numPr>
          <w:ilvl w:val="0"/>
          <w:numId w:val="0"/>
        </w:numP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区财政局预算科组织协调各业务科室，对部门预算绩效管理工作进行指导监督，如通过微信群等沟通工具，与第三方机构一起，对部门预算绩效管理工作开展中遇到的问题进行及时沟通，通过自身财政专业技能和研读政策文件等，适时予以完善和解决，提高部门预算绩效管理工作的效率和效果。</w:t>
      </w:r>
    </w:p>
    <w:p>
      <w:pPr>
        <w:pStyle w:val="2"/>
        <w:numPr>
          <w:ilvl w:val="0"/>
          <w:numId w:val="0"/>
        </w:num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（四）加强预算绩效管理工作审核力度</w:t>
      </w:r>
    </w:p>
    <w:p>
      <w:pPr>
        <w:pStyle w:val="2"/>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对各部门的预算绩效管理工作完成情况，要求按照时间节点进行汇总上报，同时区财政局各业务科室进行初步审核，审核过程中对不符合要求的进行意见反馈，并提出修改完善意见，部门整改后进行再次审核。</w:t>
      </w:r>
    </w:p>
    <w:p>
      <w:pPr>
        <w:pStyle w:val="2"/>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（五）高度重视重点项目和部门整体绩效评价工作</w:t>
      </w:r>
    </w:p>
    <w:p>
      <w:pPr>
        <w:pStyle w:val="2"/>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是从重点项目和部门整体选择上，选取专项债券、重点民生工程等项目和社会公众关注的部门；二是从严要求中介机构开展绩效评价工作，如绩效评价指标体系设立上、绩效评价报告草稿，要求充分与被评价单位、区财政局业务科室、预算科进行沟通，并实事求是独立客观地出具绩效评价报告；三是及时反馈绩效评价报告结果，要求尽快整改到位。</w:t>
      </w:r>
    </w:p>
    <w:p>
      <w:pPr>
        <w:pStyle w:val="2"/>
        <w:numPr>
          <w:ilvl w:val="0"/>
          <w:numId w:val="0"/>
        </w:numPr>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三、预算绩效管理工作存在的问题</w:t>
      </w:r>
    </w:p>
    <w:p>
      <w:pPr>
        <w:pStyle w:val="2"/>
        <w:numPr>
          <w:ilvl w:val="0"/>
          <w:numId w:val="0"/>
        </w:num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（一）区预算绩效管理工作重视程度有待进一步提高</w:t>
      </w:r>
    </w:p>
    <w:p>
      <w:p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2021年区预算绩效管理工作全面开展以来，前期准备工作充分，实施过程中强化指导监督，总体完成情况良好。但是在预算绩效管理体系建设方面还存在很大不足之处，与政策文件要求的“加快构建全方位、全过程、全覆盖的预算绩效管理体系”尚有一定距离。</w:t>
      </w:r>
    </w:p>
    <w:p>
      <w:pPr>
        <w:pStyle w:val="2"/>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（二）部门预算绩效管理意识有待提高</w:t>
      </w:r>
    </w:p>
    <w:p>
      <w:pPr>
        <w:pStyle w:val="2"/>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通过一年的预算绩效管理工作的实施，部门预算绩效管理工作取得了一些成绩，但在预算绩效管理意识上还有提高的空间，主体体现在预算绩效指标的设定上、事中监控和事后自评的问题发现和措施整改上。</w:t>
      </w:r>
    </w:p>
    <w:p>
      <w:pPr>
        <w:pStyle w:val="2"/>
        <w:numPr>
          <w:ilvl w:val="0"/>
          <w:numId w:val="0"/>
        </w:numPr>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四、预算绩效管理工作下一步计划</w:t>
      </w:r>
    </w:p>
    <w:p>
      <w:pPr>
        <w:pStyle w:val="2"/>
        <w:numPr>
          <w:ilvl w:val="0"/>
          <w:numId w:val="0"/>
        </w:numPr>
        <w:rPr>
          <w:rFonts w:hint="default" w:ascii="仿宋" w:hAnsi="仿宋" w:eastAsia="仿宋" w:cs="仿宋"/>
          <w:b w:val="0"/>
          <w:bCs w:val="0"/>
          <w:sz w:val="32"/>
          <w:szCs w:val="32"/>
          <w:lang w:val="en-US" w:eastAsia="zh-CN"/>
        </w:rPr>
      </w:pPr>
      <w:r>
        <w:rPr>
          <w:rFonts w:hint="eastAsia" w:ascii="仿宋" w:hAnsi="仿宋" w:eastAsia="仿宋" w:cs="仿宋"/>
          <w:b/>
          <w:bCs/>
          <w:sz w:val="32"/>
          <w:szCs w:val="32"/>
          <w:lang w:val="en-US" w:eastAsia="zh-CN"/>
        </w:rPr>
        <w:t xml:space="preserve">  </w:t>
      </w:r>
      <w:r>
        <w:rPr>
          <w:rFonts w:hint="eastAsia" w:ascii="仿宋" w:hAnsi="仿宋" w:eastAsia="仿宋" w:cs="仿宋"/>
          <w:b w:val="0"/>
          <w:bCs w:val="0"/>
          <w:sz w:val="32"/>
          <w:szCs w:val="32"/>
          <w:lang w:val="en-US" w:eastAsia="zh-CN"/>
        </w:rPr>
        <w:t xml:space="preserve"> （一）提高预算绩效意识，强化预算绩效工作力度</w:t>
      </w:r>
    </w:p>
    <w:p>
      <w:pPr>
        <w:pStyle w:val="2"/>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是进一步加强预算绩效管理工作的宣传，增强预算绩效意识，二是组织区财政局各业务科室进一步学习政策文件，提高自身预算绩效管理能力，从预算安排、执行、决算等方面促使财政业务与预算绩效管理结合，进而从财政资金管理角度全面提升和强化预算绩效管理工作。</w:t>
      </w:r>
    </w:p>
    <w:p>
      <w:pPr>
        <w:pStyle w:val="2"/>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（二）多方面举措并行，全面提高部门预算绩效管理工作能力</w:t>
      </w:r>
    </w:p>
    <w:p>
      <w:pPr>
        <w:pStyle w:val="2"/>
        <w:numPr>
          <w:ilvl w:val="0"/>
          <w:numId w:val="0"/>
        </w:numPr>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一是加强部门预算绩效管理培训次数，二是聘请第三方专业机构在微信群进行政策宣传、案例解析、类似项目分享等；三是加大对部门预算绩效管理的考核力度，考核成绩与预算安排、职位晋升等挂钩。</w:t>
      </w:r>
    </w:p>
    <w:p>
      <w:pPr>
        <w:pStyle w:val="2"/>
        <w:numPr>
          <w:ilvl w:val="0"/>
          <w:numId w:val="0"/>
        </w:numPr>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（三）聘请专家参与重点项目和部门整体绩效评价评审工作</w:t>
      </w:r>
    </w:p>
    <w:p>
      <w:pPr>
        <w:pStyle w:val="2"/>
        <w:numPr>
          <w:ilvl w:val="0"/>
          <w:numId w:val="0"/>
        </w:num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2022年度的重点项目和部门整体绩效评价工作，聘请专家参与评审打分，既可以督促被评价单位更好开展预算绩效管理工作，又可以检验第三方专业机构的胜任能力和敬业精神。</w:t>
      </w:r>
    </w:p>
    <w:p>
      <w:pPr>
        <w:pStyle w:val="2"/>
        <w:numPr>
          <w:ilvl w:val="0"/>
          <w:numId w:val="0"/>
        </w:numP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p>
    <w:p>
      <w:pPr>
        <w:pStyle w:val="2"/>
        <w:numPr>
          <w:ilvl w:val="0"/>
          <w:numId w:val="0"/>
        </w:numPr>
        <w:rPr>
          <w:rFonts w:hint="eastAsia" w:ascii="仿宋" w:hAnsi="仿宋" w:eastAsia="仿宋" w:cs="仿宋"/>
          <w:sz w:val="32"/>
          <w:szCs w:val="32"/>
          <w:lang w:val="en-US" w:eastAsia="zh-CN"/>
        </w:rPr>
      </w:pPr>
    </w:p>
    <w:p>
      <w:pPr>
        <w:pStyle w:val="2"/>
        <w:numPr>
          <w:ilvl w:val="0"/>
          <w:numId w:val="0"/>
        </w:numPr>
        <w:rPr>
          <w:rFonts w:hint="default" w:ascii="仿宋" w:hAnsi="仿宋" w:eastAsia="仿宋" w:cs="仿宋"/>
          <w:sz w:val="32"/>
          <w:szCs w:val="32"/>
          <w:lang w:val="en-US" w:eastAsia="zh-CN"/>
        </w:rPr>
      </w:pPr>
    </w:p>
    <w:p>
      <w:pPr>
        <w:pStyle w:val="2"/>
        <w:numPr>
          <w:ilvl w:val="0"/>
          <w:numId w:val="0"/>
        </w:numPr>
        <w:ind w:firstLine="5440" w:firstLineChars="17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红旗区财政局</w:t>
      </w:r>
    </w:p>
    <w:p>
      <w:pPr>
        <w:pStyle w:val="2"/>
        <w:numPr>
          <w:ilvl w:val="0"/>
          <w:numId w:val="0"/>
        </w:numPr>
        <w:ind w:firstLine="5120" w:firstLineChars="16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2022年3月21日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692AB3"/>
    <w:rsid w:val="14983B72"/>
    <w:rsid w:val="15B67BD6"/>
    <w:rsid w:val="16805686"/>
    <w:rsid w:val="26BD62BD"/>
    <w:rsid w:val="27072965"/>
    <w:rsid w:val="354557D1"/>
    <w:rsid w:val="36274212"/>
    <w:rsid w:val="3F5E5077"/>
    <w:rsid w:val="3F783712"/>
    <w:rsid w:val="41DA3292"/>
    <w:rsid w:val="4A28380D"/>
    <w:rsid w:val="4CE36456"/>
    <w:rsid w:val="562C448C"/>
    <w:rsid w:val="56521F8E"/>
    <w:rsid w:val="609D70B8"/>
    <w:rsid w:val="61054E38"/>
    <w:rsid w:val="660C6F89"/>
    <w:rsid w:val="683A785F"/>
    <w:rsid w:val="6DBF4E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2118</Words>
  <Characters>2161</Characters>
  <Lines>0</Lines>
  <Paragraphs>0</Paragraphs>
  <TotalTime>4</TotalTime>
  <ScaleCrop>false</ScaleCrop>
  <LinksUpToDate>false</LinksUpToDate>
  <CharactersWithSpaces>2165</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2022-03-21T11:30:00Z</dcterms:created>
  <dc:creator>zhao</dc:creator>
  <cp:lastModifiedBy>扬帆起航</cp:lastModifiedBy>
  <dcterms:modified xsi:type="dcterms:W3CDTF">2022-03-24T13:07:57Z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E536FE7ED64041A39B94B4523554A3F0</vt:lpwstr>
  </property>
</Properties>
</file>