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01"/>
        </w:tabs>
        <w:spacing w:line="640" w:lineRule="exact"/>
        <w:jc w:val="left"/>
        <w:rPr>
          <w:rFonts w:hint="eastAsia" w:ascii="黑体" w:hAnsi="宋体" w:eastAsia="黑体" w:cs="宋体"/>
          <w:kern w:val="0"/>
          <w:sz w:val="32"/>
          <w:szCs w:val="32"/>
        </w:rPr>
      </w:pPr>
      <w:r>
        <w:rPr>
          <w:rFonts w:hint="eastAsia" w:ascii="黑体" w:hAnsi="宋体" w:eastAsia="黑体" w:cs="宋体"/>
          <w:kern w:val="0"/>
          <w:sz w:val="32"/>
          <w:szCs w:val="32"/>
        </w:rPr>
        <w:t>附件</w:t>
      </w:r>
      <w:bookmarkStart w:id="0" w:name="_GoBack"/>
      <w:bookmarkEnd w:id="0"/>
    </w:p>
    <w:p>
      <w:pPr>
        <w:tabs>
          <w:tab w:val="left" w:pos="1101"/>
        </w:tabs>
        <w:spacing w:line="640" w:lineRule="exact"/>
        <w:jc w:val="center"/>
        <w:rPr>
          <w:rFonts w:hint="eastAsia" w:ascii="黑体" w:hAnsi="仿宋_GB2312" w:eastAsia="黑体" w:cs="仿宋_GB2312"/>
          <w:sz w:val="44"/>
          <w:szCs w:val="44"/>
        </w:rPr>
      </w:pPr>
      <w:r>
        <w:rPr>
          <w:rFonts w:hint="eastAsia" w:ascii="黑体" w:hAnsi="宋体" w:eastAsia="黑体" w:cs="宋体"/>
          <w:kern w:val="0"/>
          <w:sz w:val="44"/>
          <w:szCs w:val="44"/>
        </w:rPr>
        <w:t>全国政务服务“跨省通办”新增</w:t>
      </w:r>
      <w:r>
        <w:rPr>
          <w:rFonts w:hint="eastAsia" w:ascii="黑体" w:hAnsi="宋体" w:eastAsia="黑体" w:cs="宋体"/>
          <w:kern w:val="0"/>
          <w:sz w:val="44"/>
          <w:szCs w:val="44"/>
          <w:lang w:val="en-US" w:eastAsia="zh-CN"/>
        </w:rPr>
        <w:t>区</w:t>
      </w:r>
      <w:r>
        <w:rPr>
          <w:rFonts w:hint="eastAsia" w:ascii="黑体" w:hAnsi="宋体" w:eastAsia="黑体" w:cs="宋体"/>
          <w:kern w:val="0"/>
          <w:sz w:val="44"/>
          <w:szCs w:val="44"/>
        </w:rPr>
        <w:t>级任务清单</w:t>
      </w:r>
    </w:p>
    <w:tbl>
      <w:tblPr>
        <w:tblStyle w:val="4"/>
        <w:tblW w:w="9174" w:type="dxa"/>
        <w:jc w:val="center"/>
        <w:tblLayout w:type="autofit"/>
        <w:tblCellMar>
          <w:top w:w="0" w:type="dxa"/>
          <w:left w:w="108" w:type="dxa"/>
          <w:bottom w:w="0" w:type="dxa"/>
          <w:right w:w="108" w:type="dxa"/>
        </w:tblCellMar>
      </w:tblPr>
      <w:tblGrid>
        <w:gridCol w:w="459"/>
        <w:gridCol w:w="1615"/>
        <w:gridCol w:w="2940"/>
        <w:gridCol w:w="1260"/>
        <w:gridCol w:w="1289"/>
        <w:gridCol w:w="1611"/>
      </w:tblGrid>
      <w:tr>
        <w:tblPrEx>
          <w:tblCellMar>
            <w:top w:w="0" w:type="dxa"/>
            <w:left w:w="108" w:type="dxa"/>
            <w:bottom w:w="0" w:type="dxa"/>
            <w:right w:w="108" w:type="dxa"/>
          </w:tblCellMar>
        </w:tblPrEx>
        <w:trPr>
          <w:trHeight w:val="600" w:hRule="atLeast"/>
          <w:tblHeader/>
          <w:jc w:val="center"/>
        </w:trPr>
        <w:tc>
          <w:tcPr>
            <w:tcW w:w="45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序号</w:t>
            </w:r>
          </w:p>
        </w:tc>
        <w:tc>
          <w:tcPr>
            <w:tcW w:w="1615" w:type="dxa"/>
            <w:tcBorders>
              <w:top w:val="single" w:color="000000" w:sz="8" w:space="0"/>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“跨省通办”事项</w:t>
            </w:r>
          </w:p>
        </w:tc>
        <w:tc>
          <w:tcPr>
            <w:tcW w:w="2940" w:type="dxa"/>
            <w:tcBorders>
              <w:top w:val="single" w:color="000000" w:sz="8" w:space="0"/>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应用场景</w:t>
            </w:r>
          </w:p>
        </w:tc>
        <w:tc>
          <w:tcPr>
            <w:tcW w:w="1260" w:type="dxa"/>
            <w:tcBorders>
              <w:top w:val="single" w:color="000000" w:sz="8" w:space="0"/>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牵头单位</w:t>
            </w:r>
          </w:p>
        </w:tc>
        <w:tc>
          <w:tcPr>
            <w:tcW w:w="1289" w:type="dxa"/>
            <w:tcBorders>
              <w:top w:val="single" w:color="000000" w:sz="8" w:space="0"/>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配合单位</w:t>
            </w:r>
          </w:p>
        </w:tc>
        <w:tc>
          <w:tcPr>
            <w:tcW w:w="1611" w:type="dxa"/>
            <w:tcBorders>
              <w:top w:val="single" w:color="000000" w:sz="8" w:space="0"/>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完成时间</w:t>
            </w:r>
          </w:p>
        </w:tc>
      </w:tr>
      <w:tr>
        <w:tblPrEx>
          <w:tblCellMar>
            <w:top w:w="0" w:type="dxa"/>
            <w:left w:w="108" w:type="dxa"/>
            <w:bottom w:w="0" w:type="dxa"/>
            <w:right w:w="108" w:type="dxa"/>
          </w:tblCellMar>
        </w:tblPrEx>
        <w:trPr>
          <w:trHeight w:val="919"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615"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临时居民身份证办理</w:t>
            </w:r>
          </w:p>
        </w:tc>
        <w:tc>
          <w:tcPr>
            <w:tcW w:w="2940" w:type="dxa"/>
            <w:tcBorders>
              <w:top w:val="nil"/>
              <w:left w:val="nil"/>
              <w:bottom w:val="single" w:color="000000" w:sz="8" w:space="0"/>
              <w:right w:val="single" w:color="000000" w:sz="8"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申请人可异地申请办理临时居民身份证，不受户籍地限制。</w:t>
            </w:r>
          </w:p>
        </w:tc>
        <w:tc>
          <w:tcPr>
            <w:tcW w:w="1260"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公安局</w:t>
            </w:r>
          </w:p>
        </w:tc>
        <w:tc>
          <w:tcPr>
            <w:tcW w:w="1289"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2023年底前</w:t>
            </w:r>
          </w:p>
        </w:tc>
      </w:tr>
      <w:tr>
        <w:tblPrEx>
          <w:tblCellMar>
            <w:top w:w="0" w:type="dxa"/>
            <w:left w:w="108" w:type="dxa"/>
            <w:bottom w:w="0" w:type="dxa"/>
            <w:right w:w="108" w:type="dxa"/>
          </w:tblCellMar>
        </w:tblPrEx>
        <w:trPr>
          <w:trHeight w:val="1710"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615"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子女投靠父母户口迁移</w:t>
            </w:r>
          </w:p>
        </w:tc>
        <w:tc>
          <w:tcPr>
            <w:tcW w:w="2940" w:type="dxa"/>
            <w:tcBorders>
              <w:top w:val="nil"/>
              <w:left w:val="nil"/>
              <w:bottom w:val="single" w:color="000000" w:sz="8" w:space="0"/>
              <w:right w:val="single" w:color="000000" w:sz="8"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申请人因投靠父母需要迁移户口的，只需在迁入地申请，迁入地和迁出地公安部门协同办理户口迁移，申请人不再需要到迁出地办理相关手续。</w:t>
            </w:r>
          </w:p>
        </w:tc>
        <w:tc>
          <w:tcPr>
            <w:tcW w:w="1260"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公安局</w:t>
            </w:r>
          </w:p>
        </w:tc>
        <w:tc>
          <w:tcPr>
            <w:tcW w:w="1289"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855"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615"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城乡居民养老保险参保登记</w:t>
            </w:r>
          </w:p>
        </w:tc>
        <w:tc>
          <w:tcPr>
            <w:tcW w:w="2940" w:type="dxa"/>
            <w:tcBorders>
              <w:top w:val="nil"/>
              <w:left w:val="nil"/>
              <w:bottom w:val="single" w:color="000000" w:sz="8" w:space="0"/>
              <w:right w:val="single" w:color="000000" w:sz="8"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申请人可异地网上申请城乡居民养老保险参保登记，不受地域限制。</w:t>
            </w:r>
          </w:p>
        </w:tc>
        <w:tc>
          <w:tcPr>
            <w:tcW w:w="1260"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人社局</w:t>
            </w:r>
          </w:p>
        </w:tc>
        <w:tc>
          <w:tcPr>
            <w:tcW w:w="1289"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855"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615"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城乡居民养老保险待遇申请</w:t>
            </w:r>
          </w:p>
        </w:tc>
        <w:tc>
          <w:tcPr>
            <w:tcW w:w="2940" w:type="dxa"/>
            <w:tcBorders>
              <w:top w:val="nil"/>
              <w:left w:val="nil"/>
              <w:bottom w:val="single" w:color="000000" w:sz="8" w:space="0"/>
              <w:right w:val="single" w:color="000000" w:sz="8"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申请人可异地网上申请城乡居民养老保险待遇，不受地域限制。</w:t>
            </w:r>
          </w:p>
        </w:tc>
        <w:tc>
          <w:tcPr>
            <w:tcW w:w="1260"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人社局</w:t>
            </w:r>
          </w:p>
        </w:tc>
        <w:tc>
          <w:tcPr>
            <w:tcW w:w="1289"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1279"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航运公司符合证明查询、核验</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申请人可异地查询、核验船舶安全管理证书，不受地域限制。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交通局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2022年底前</w:t>
            </w:r>
          </w:p>
        </w:tc>
      </w:tr>
      <w:tr>
        <w:tblPrEx>
          <w:tblCellMar>
            <w:top w:w="0" w:type="dxa"/>
            <w:left w:w="108" w:type="dxa"/>
            <w:bottom w:w="0" w:type="dxa"/>
            <w:right w:w="108" w:type="dxa"/>
          </w:tblCellMar>
        </w:tblPrEx>
        <w:trPr>
          <w:trHeight w:val="1279"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船舶安全管理证书查询、核验</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申请人可异地查询、核验船舶安全管理证书，不受地域限制。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交通局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2022年底前</w:t>
            </w:r>
          </w:p>
        </w:tc>
      </w:tr>
      <w:tr>
        <w:tblPrEx>
          <w:tblCellMar>
            <w:top w:w="0" w:type="dxa"/>
            <w:left w:w="108" w:type="dxa"/>
            <w:bottom w:w="0" w:type="dxa"/>
            <w:right w:w="108" w:type="dxa"/>
          </w:tblCellMar>
        </w:tblPrEx>
        <w:trPr>
          <w:trHeight w:val="1279"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水利水电工程施工企业主要负责人、项目负责人和专职安全生产管理人员安全生产考核变更</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申请人在申请证书变更时，考核管理部门发生变化的，只需向新考核管理部门提出申请，新考核管理部门和原考核管理部门协同办理，申请人不需要到原考核管理部门办理变更手续。</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农业农村局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2023年6月底前</w:t>
            </w:r>
          </w:p>
        </w:tc>
      </w:tr>
      <w:tr>
        <w:tblPrEx>
          <w:tblCellMar>
            <w:top w:w="0" w:type="dxa"/>
            <w:left w:w="108" w:type="dxa"/>
            <w:bottom w:w="0" w:type="dxa"/>
            <w:right w:w="108" w:type="dxa"/>
          </w:tblCellMar>
        </w:tblPrEx>
        <w:trPr>
          <w:trHeight w:val="1279"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8</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异地电子缴税</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因跨省经营或管理需要，申请人可将税款从异地银行结算账户跨省缴入经营地国库。</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人民银行</w:t>
            </w: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2022年11月底前</w:t>
            </w:r>
          </w:p>
        </w:tc>
      </w:tr>
      <w:tr>
        <w:tblPrEx>
          <w:tblCellMar>
            <w:top w:w="0" w:type="dxa"/>
            <w:left w:w="108" w:type="dxa"/>
            <w:bottom w:w="0" w:type="dxa"/>
            <w:right w:w="108" w:type="dxa"/>
          </w:tblCellMar>
        </w:tblPrEx>
        <w:trPr>
          <w:trHeight w:val="1122"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9</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开具税收完税证明</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申请人可异地通过电子税务局开具税收完税证明，不受地域限制。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2022年11月底前</w:t>
            </w:r>
          </w:p>
        </w:tc>
      </w:tr>
      <w:tr>
        <w:tblPrEx>
          <w:tblCellMar>
            <w:top w:w="0" w:type="dxa"/>
            <w:left w:w="108" w:type="dxa"/>
            <w:bottom w:w="0" w:type="dxa"/>
            <w:right w:w="108" w:type="dxa"/>
          </w:tblCellMar>
        </w:tblPrEx>
        <w:trPr>
          <w:trHeight w:val="1020"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0</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单位社会保险费申报</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申请人可异地网上申报单位社会保险费，不受地域限制。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960"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1</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灵活就业人员社会保险费申报</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申请人可异地网上申报灵活就业人员社会保险费，不受地域限制。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1002"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2</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城乡居民社会保险费申报</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申请人可异地网上申报城乡居民社会保险费，不受地域限制。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1002"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3</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社会保险费特殊缴费申报</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申请人可异地网上申报社会保险费特殊缴费，不受地域限制。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人社局、医保局</w:t>
            </w: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1122"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4</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工程项目工伤保险费申报</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申请人可异地网上申报工程项目工伤保险费，不受地域限制。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2022年底前</w:t>
            </w:r>
          </w:p>
        </w:tc>
      </w:tr>
      <w:tr>
        <w:tblPrEx>
          <w:tblCellMar>
            <w:top w:w="0" w:type="dxa"/>
            <w:left w:w="108" w:type="dxa"/>
            <w:bottom w:w="0" w:type="dxa"/>
            <w:right w:w="108" w:type="dxa"/>
          </w:tblCellMar>
        </w:tblPrEx>
        <w:trPr>
          <w:trHeight w:val="1080"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开具社会保险费缴费证明</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申请人可异地网上开具社会保险费缴费证明，不受地域限制。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2022年11月底前</w:t>
            </w:r>
          </w:p>
        </w:tc>
      </w:tr>
      <w:tr>
        <w:tblPrEx>
          <w:tblCellMar>
            <w:top w:w="0" w:type="dxa"/>
            <w:left w:w="108" w:type="dxa"/>
            <w:bottom w:w="0" w:type="dxa"/>
            <w:right w:w="108" w:type="dxa"/>
          </w:tblCellMar>
        </w:tblPrEx>
        <w:trPr>
          <w:trHeight w:val="1002"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6</w:t>
            </w:r>
          </w:p>
        </w:tc>
        <w:tc>
          <w:tcPr>
            <w:tcW w:w="1615"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退还误收多缴保险费申请</w:t>
            </w:r>
          </w:p>
        </w:tc>
        <w:tc>
          <w:tcPr>
            <w:tcW w:w="2940" w:type="dxa"/>
            <w:tcBorders>
              <w:top w:val="nil"/>
              <w:left w:val="nil"/>
              <w:bottom w:val="single" w:color="000000" w:sz="8" w:space="0"/>
              <w:right w:val="single" w:color="000000" w:sz="8" w:space="0"/>
            </w:tcBorders>
            <w:noWrap w:val="0"/>
            <w:vAlign w:val="center"/>
          </w:tcPr>
          <w:p>
            <w:pPr>
              <w:widowControl/>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申请人可异地网上申请退还误收多缴保险费，不受地域限制。</w:t>
            </w:r>
          </w:p>
        </w:tc>
        <w:tc>
          <w:tcPr>
            <w:tcW w:w="1260"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税务局</w:t>
            </w:r>
          </w:p>
        </w:tc>
        <w:tc>
          <w:tcPr>
            <w:tcW w:w="1289"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人社局、医保局</w:t>
            </w:r>
          </w:p>
        </w:tc>
        <w:tc>
          <w:tcPr>
            <w:tcW w:w="1611" w:type="dxa"/>
            <w:tcBorders>
              <w:top w:val="nil"/>
              <w:left w:val="nil"/>
              <w:bottom w:val="single" w:color="000000" w:sz="8" w:space="0"/>
              <w:right w:val="single" w:color="000000" w:sz="8" w:space="0"/>
            </w:tcBorders>
            <w:noWrap w:val="0"/>
            <w:vAlign w:val="center"/>
          </w:tcPr>
          <w:p>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2022年11月底前</w:t>
            </w:r>
          </w:p>
        </w:tc>
      </w:tr>
      <w:tr>
        <w:tblPrEx>
          <w:tblCellMar>
            <w:top w:w="0" w:type="dxa"/>
            <w:left w:w="108" w:type="dxa"/>
            <w:bottom w:w="0" w:type="dxa"/>
            <w:right w:w="108" w:type="dxa"/>
          </w:tblCellMar>
        </w:tblPrEx>
        <w:trPr>
          <w:trHeight w:val="3000" w:hRule="atLeast"/>
          <w:jc w:val="center"/>
        </w:trPr>
        <w:tc>
          <w:tcPr>
            <w:tcW w:w="459" w:type="dxa"/>
            <w:tcBorders>
              <w:top w:val="nil"/>
              <w:left w:val="single" w:color="000000" w:sz="8" w:space="0"/>
              <w:bottom w:val="single" w:color="000000" w:sz="8" w:space="0"/>
              <w:right w:val="single" w:color="000000" w:sz="8" w:space="0"/>
            </w:tcBorders>
            <w:noWrap/>
            <w:vAlign w:val="center"/>
          </w:tcPr>
          <w:p>
            <w:pPr>
              <w:widowControl/>
              <w:spacing w:line="32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7</w:t>
            </w:r>
          </w:p>
        </w:tc>
        <w:tc>
          <w:tcPr>
            <w:tcW w:w="1615"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高血压、糖尿病、恶性肿瘤门诊放化疗、尿毒症透析、器官移植术后抗排异治疗等5种门诊慢特病相关治疗费用跨省直接结算</w:t>
            </w:r>
          </w:p>
        </w:tc>
        <w:tc>
          <w:tcPr>
            <w:tcW w:w="2940" w:type="dxa"/>
            <w:tcBorders>
              <w:top w:val="nil"/>
              <w:left w:val="nil"/>
              <w:bottom w:val="single" w:color="000000" w:sz="8" w:space="0"/>
              <w:right w:val="single" w:color="000000" w:sz="8"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具有门诊慢特病认定资格的参保人员在参保地备案后，按照参保地相关要求可在高血压、糖尿病、恶性肿瘤门诊放化疗、尿毒症透析、器官移植术后抗排异治疗等5种门诊慢特病相关治疗费用跨省联网定点医疗机构享受直接结算服务。</w:t>
            </w:r>
          </w:p>
        </w:tc>
        <w:tc>
          <w:tcPr>
            <w:tcW w:w="1260"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医保局</w:t>
            </w:r>
          </w:p>
        </w:tc>
        <w:tc>
          <w:tcPr>
            <w:tcW w:w="1289"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Arial" w:eastAsia="仿宋_GB2312" w:cs="Arial"/>
                <w:color w:val="000000"/>
                <w:kern w:val="0"/>
                <w:sz w:val="24"/>
              </w:rPr>
            </w:pPr>
          </w:p>
        </w:tc>
        <w:tc>
          <w:tcPr>
            <w:tcW w:w="1611" w:type="dxa"/>
            <w:tcBorders>
              <w:top w:val="nil"/>
              <w:left w:val="nil"/>
              <w:bottom w:val="single" w:color="000000" w:sz="8" w:space="0"/>
              <w:right w:val="single" w:color="000000" w:sz="8"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2022年11月底前</w:t>
            </w:r>
          </w:p>
        </w:tc>
      </w:tr>
    </w:tbl>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zlmODkwNGIzOGM1ZGUyMjkwNzY4MWI1MjRhZmYifQ=="/>
  </w:docVars>
  <w:rsids>
    <w:rsidRoot w:val="00000000"/>
    <w:rsid w:val="786E2215"/>
    <w:rsid w:val="7DBB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首行缩进 21"/>
    <w:basedOn w:val="7"/>
    <w:qFormat/>
    <w:uiPriority w:val="0"/>
    <w:pPr>
      <w:ind w:firstLine="420" w:firstLineChars="200"/>
    </w:pPr>
  </w:style>
  <w:style w:type="paragraph" w:customStyle="1" w:styleId="7">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小奋奋</cp:lastModifiedBy>
  <dcterms:modified xsi:type="dcterms:W3CDTF">2023-07-27T20:02:54Z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2E5D2B0A3683429A8BFEE000A0C73676</vt:lpwstr>
  </property>
</Properties>
</file>