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b/>
          <w:bCs/>
          <w:spacing w:val="23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>
      <w:pPr>
        <w:spacing w:before="146" w:line="61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position w:val="10"/>
          <w:sz w:val="45"/>
          <w:szCs w:val="45"/>
        </w:rPr>
        <w:t>新乡市在乡镇(街道)行使消防救援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5"/>
          <w:szCs w:val="45"/>
        </w:rPr>
        <w:t>行政处罚权的适用范围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一、居民住宅小区、商业服务网点。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二、建筑面积在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平方米以下(不含本数)的下列场所：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多合一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场所；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(二)出租屋、群租房；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(三)商店、集贸市场、旅馆、饭店(含农家乐)、沿街门店；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(四)洗浴、足浴、茶社、美容美发、采耳、健身、汗蒸等营业性休闲场所；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(五)邮政、电商、物流(含快递收发点)、金融网点、医疗卫生机构；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(六)公共书屋、展示陈列等基层文化服务场所。</w:t>
      </w:r>
    </w:p>
    <w:sectPr>
      <w:pgSz w:w="11906" w:h="16838"/>
      <w:pgMar w:top="1440" w:right="1800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15D2F37"/>
    <w:rsid w:val="05B07EFA"/>
    <w:rsid w:val="2180230D"/>
    <w:rsid w:val="222F450C"/>
    <w:rsid w:val="27445AFC"/>
    <w:rsid w:val="4103353C"/>
    <w:rsid w:val="4FF62A41"/>
    <w:rsid w:val="615D2F37"/>
    <w:rsid w:val="72E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2023-07-20T00:30:00Z</dcterms:created>
  <dc:creator>司法局</dc:creator>
  <cp:lastModifiedBy>司法局</cp:lastModifiedBy>
  <dcterms:modified xsi:type="dcterms:W3CDTF">2023-07-20T02:55:53Z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AE8AAF4A57614F58833563DBD9613559_11</vt:lpwstr>
  </property>
</Properties>
</file>