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红旗区人民政府</w:t>
      </w:r>
      <w:bookmarkStart w:id="0" w:name="_GoBack"/>
      <w:bookmarkEnd w:id="0"/>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pPr>
      <w:r>
        <w:rPr>
          <w:rFonts w:hint="eastAsia" w:ascii="方正小标宋简体" w:hAnsi="方正小标宋简体" w:eastAsia="方正小标宋简体" w:cs="方正小标宋简体"/>
          <w:b w:val="0"/>
          <w:bCs w:val="0"/>
          <w:i w:val="0"/>
          <w:iCs w:val="0"/>
          <w:caps w:val="0"/>
          <w:color w:val="auto"/>
          <w:spacing w:val="0"/>
          <w:sz w:val="44"/>
          <w:szCs w:val="44"/>
          <w:shd w:val="clear" w:fill="FFFFFF"/>
          <w:lang w:eastAsia="zh-CN"/>
        </w:rPr>
        <w:t>关于加强红旗区耕地保护的实施意见</w:t>
      </w:r>
    </w:p>
    <w:p>
      <w:pPr>
        <w:keepNext w:val="0"/>
        <w:keepLines w:val="0"/>
        <w:pageBreakBefore w:val="0"/>
        <w:widowControl w:val="0"/>
        <w:kinsoku/>
        <w:wordWrap/>
        <w:overflowPunct/>
        <w:topLinePunct w:val="0"/>
        <w:autoSpaceDE/>
        <w:autoSpaceDN/>
        <w:bidi w:val="0"/>
        <w:adjustRightInd/>
        <w:snapToGrid/>
        <w:spacing w:beforeAutospacing="0" w:afterAutospacing="0"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lang w:val="en-US" w:eastAsia="zh-CN"/>
        </w:rPr>
        <w:t>征求意见稿</w:t>
      </w:r>
      <w:r>
        <w:rPr>
          <w:rFonts w:hint="eastAsia" w:ascii="方正小标宋简体" w:hAnsi="方正小标宋简体" w:eastAsia="方正小标宋简体" w:cs="方正小标宋简体"/>
          <w:sz w:val="44"/>
          <w:szCs w:val="44"/>
          <w:lang w:eastAsia="zh-CN"/>
        </w:rPr>
        <w:t>）</w:t>
      </w:r>
    </w:p>
    <w:p>
      <w:pPr>
        <w:pStyle w:val="2"/>
        <w:keepNext w:val="0"/>
        <w:keepLines w:val="0"/>
        <w:pageBreakBefore w:val="0"/>
        <w:kinsoku/>
        <w:wordWrap/>
        <w:overflowPunct/>
        <w:topLinePunct w:val="0"/>
        <w:autoSpaceDE/>
        <w:autoSpaceDN/>
        <w:bidi w:val="0"/>
        <w:adjustRightInd/>
        <w:snapToGrid/>
        <w:spacing w:beforeAutospacing="0" w:after="0" w:afterAutospacing="0" w:line="600" w:lineRule="exact"/>
        <w:textAlignment w:val="auto"/>
        <w:rPr>
          <w:rFonts w:hint="eastAsia"/>
          <w:sz w:val="32"/>
          <w:szCs w:val="32"/>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b w:val="0"/>
          <w:bCs w:val="0"/>
          <w:i w:val="0"/>
          <w:iCs w:val="0"/>
          <w:caps w:val="0"/>
          <w:color w:val="auto"/>
          <w:spacing w:val="0"/>
          <w:sz w:val="32"/>
          <w:szCs w:val="32"/>
          <w:shd w:val="clear" w:fill="FFFFFF"/>
          <w:lang w:eastAsia="zh-CN"/>
        </w:rPr>
      </w:pPr>
      <w:r>
        <w:rPr>
          <w:rFonts w:hint="eastAsia" w:ascii="仿宋_GB2312" w:hAnsi="仿宋_GB2312" w:eastAsia="仿宋_GB2312" w:cs="仿宋_GB2312"/>
          <w:b w:val="0"/>
          <w:bCs w:val="0"/>
          <w:i w:val="0"/>
          <w:iCs w:val="0"/>
          <w:caps w:val="0"/>
          <w:color w:val="auto"/>
          <w:spacing w:val="0"/>
          <w:sz w:val="32"/>
          <w:szCs w:val="32"/>
          <w:shd w:val="clear" w:fill="FFFFFF"/>
          <w:lang w:eastAsia="zh-CN"/>
        </w:rPr>
        <w:t>为深入贯彻习近平总书记关于从严保护耕地的决策部署和省市工作要求，全面实行最严格的耕地保护制度和最严格的节约用地制度，进一步加强我区耕地保护工作，坚决制止耕地“非农化”，防止耕地“非粮化”，牢牢守住耕地红线。根据国家土地管理法律法规和中央、省市要求，现结合我区实际，提出如下实施意见。</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一、严格控制建设占用耕地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rPr>
        <w:t>（一）加强规划计划管控。</w:t>
      </w:r>
      <w:r>
        <w:rPr>
          <w:rFonts w:hint="eastAsia" w:ascii="仿宋_GB2312" w:hAnsi="仿宋_GB2312" w:eastAsia="仿宋_GB2312" w:cs="仿宋_GB2312"/>
          <w:i w:val="0"/>
          <w:iCs w:val="0"/>
          <w:caps w:val="0"/>
          <w:color w:val="auto"/>
          <w:spacing w:val="0"/>
          <w:sz w:val="32"/>
          <w:szCs w:val="32"/>
          <w:shd w:val="clear" w:fill="FFFFFF"/>
        </w:rPr>
        <w:t>充分发挥国土空间规划的整体管控作用，从严控制新增建设用地，优化建设用地布局，合理划定生活、生产、生态三类空间，严控建设占用耕地特别是优质耕地。统筹安排新增、流量和存量用地计划。</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rPr>
        <w:t>（二）强化产业界定。</w:t>
      </w:r>
      <w:r>
        <w:rPr>
          <w:rFonts w:hint="eastAsia" w:ascii="仿宋_GB2312" w:hAnsi="仿宋_GB2312" w:eastAsia="仿宋_GB2312" w:cs="仿宋_GB2312"/>
          <w:i w:val="0"/>
          <w:iCs w:val="0"/>
          <w:caps w:val="0"/>
          <w:color w:val="auto"/>
          <w:spacing w:val="0"/>
          <w:sz w:val="32"/>
          <w:szCs w:val="32"/>
          <w:shd w:val="clear" w:fill="FFFFFF"/>
        </w:rPr>
        <w:t>加强源头控制，在年度土地储备计划编制等工作环节，严格审核建设项目的产业类型，重点审查补充耕地落实情况，确保补充耕地资金列入项目概算，优化项目选址选线，加强永久基本农田刚性管控。</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rPr>
        <w:t>（三）严格执行土地供应政策。</w:t>
      </w:r>
      <w:r>
        <w:rPr>
          <w:rFonts w:hint="eastAsia" w:ascii="仿宋_GB2312" w:hAnsi="仿宋_GB2312" w:eastAsia="仿宋_GB2312" w:cs="仿宋_GB2312"/>
          <w:i w:val="0"/>
          <w:iCs w:val="0"/>
          <w:caps w:val="0"/>
          <w:color w:val="auto"/>
          <w:spacing w:val="0"/>
          <w:sz w:val="32"/>
          <w:szCs w:val="32"/>
          <w:shd w:val="clear" w:fill="FFFFFF"/>
        </w:rPr>
        <w:t>认真处理好保护耕地和保障发展、节约集约的关系，坚持以规划确定用途、用途确定供地方式、市场确定供地价格</w:t>
      </w:r>
      <w:r>
        <w:rPr>
          <w:rFonts w:hint="eastAsia" w:ascii="仿宋_GB2312" w:hAnsi="仿宋_GB2312" w:eastAsia="仿宋_GB2312" w:cs="仿宋_GB2312"/>
          <w:i w:val="0"/>
          <w:iCs w:val="0"/>
          <w:caps w:val="0"/>
          <w:color w:val="auto"/>
          <w:spacing w:val="0"/>
          <w:sz w:val="32"/>
          <w:szCs w:val="32"/>
          <w:shd w:val="clear" w:fill="FFFFFF"/>
          <w:lang w:eastAsia="zh-CN"/>
        </w:rPr>
        <w:t>的</w:t>
      </w:r>
      <w:r>
        <w:rPr>
          <w:rFonts w:hint="eastAsia" w:ascii="仿宋_GB2312" w:hAnsi="仿宋_GB2312" w:eastAsia="仿宋_GB2312" w:cs="仿宋_GB2312"/>
          <w:i w:val="0"/>
          <w:iCs w:val="0"/>
          <w:caps w:val="0"/>
          <w:color w:val="auto"/>
          <w:spacing w:val="0"/>
          <w:sz w:val="32"/>
          <w:szCs w:val="32"/>
          <w:shd w:val="clear" w:fill="FFFFFF"/>
        </w:rPr>
        <w:t>原则，依法依规供应项目用地。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rPr>
        <w:t>（四）提升节</w:t>
      </w:r>
      <w:r>
        <w:rPr>
          <w:rFonts w:hint="eastAsia" w:ascii="楷体" w:hAnsi="楷体" w:eastAsia="楷体" w:cs="楷体"/>
          <w:i w:val="0"/>
          <w:iCs w:val="0"/>
          <w:caps w:val="0"/>
          <w:color w:val="auto"/>
          <w:spacing w:val="0"/>
          <w:sz w:val="32"/>
          <w:szCs w:val="32"/>
          <w:shd w:val="clear" w:fill="FFFFFF"/>
          <w:lang w:eastAsia="zh-CN"/>
        </w:rPr>
        <w:t>约集约用</w:t>
      </w:r>
      <w:r>
        <w:rPr>
          <w:rFonts w:hint="eastAsia" w:ascii="楷体" w:hAnsi="楷体" w:eastAsia="楷体" w:cs="楷体"/>
          <w:i w:val="0"/>
          <w:iCs w:val="0"/>
          <w:caps w:val="0"/>
          <w:color w:val="auto"/>
          <w:spacing w:val="0"/>
          <w:sz w:val="32"/>
          <w:szCs w:val="32"/>
          <w:shd w:val="clear" w:fill="FFFFFF"/>
        </w:rPr>
        <w:t>地水平和产出效益。</w:t>
      </w:r>
      <w:r>
        <w:rPr>
          <w:rFonts w:hint="eastAsia" w:ascii="仿宋_GB2312" w:hAnsi="仿宋_GB2312" w:eastAsia="仿宋_GB2312" w:cs="仿宋_GB2312"/>
          <w:i w:val="0"/>
          <w:iCs w:val="0"/>
          <w:caps w:val="0"/>
          <w:color w:val="auto"/>
          <w:spacing w:val="0"/>
          <w:sz w:val="32"/>
          <w:szCs w:val="32"/>
          <w:shd w:val="clear" w:fill="FFFFFF"/>
        </w:rPr>
        <w:t>实行有保有控的产业用地政策，坚决遏制产能过剩行业用地，着力盘活存量建设用地，加大批而未供和闲置土地处置力度，因地制宜开展低效用地再开发。充分利用城乡建设用地增减挂钩</w:t>
      </w:r>
      <w:r>
        <w:rPr>
          <w:rFonts w:hint="eastAsia" w:ascii="仿宋_GB2312" w:hAnsi="仿宋_GB2312" w:eastAsia="仿宋_GB2312" w:cs="仿宋_GB2312"/>
          <w:i w:val="0"/>
          <w:iCs w:val="0"/>
          <w:caps w:val="0"/>
          <w:color w:val="auto"/>
          <w:spacing w:val="0"/>
          <w:sz w:val="32"/>
          <w:szCs w:val="32"/>
          <w:shd w:val="clear" w:fill="FFFFFF"/>
          <w:lang w:eastAsia="zh-CN"/>
        </w:rPr>
        <w:t>及</w:t>
      </w:r>
      <w:r>
        <w:rPr>
          <w:rFonts w:hint="eastAsia" w:ascii="仿宋_GB2312" w:hAnsi="仿宋_GB2312" w:eastAsia="仿宋_GB2312" w:cs="仿宋_GB2312"/>
          <w:i w:val="0"/>
          <w:iCs w:val="0"/>
          <w:caps w:val="0"/>
          <w:color w:val="auto"/>
          <w:spacing w:val="0"/>
          <w:sz w:val="32"/>
          <w:szCs w:val="32"/>
          <w:shd w:val="clear" w:fill="FFFFFF"/>
        </w:rPr>
        <w:t>废弃地复垦利用等手段，深度整合农村土地资源，有效推进农村建设用地减量化。实施建设用地总量和开发强度“双控”，严格执行并不断提高建设用地标准</w:t>
      </w:r>
      <w:r>
        <w:rPr>
          <w:rFonts w:hint="eastAsia" w:ascii="仿宋_GB2312" w:hAnsi="仿宋_GB2312" w:eastAsia="仿宋_GB2312" w:cs="仿宋_GB2312"/>
          <w:i w:val="0"/>
          <w:iCs w:val="0"/>
          <w:caps w:val="0"/>
          <w:color w:val="auto"/>
          <w:spacing w:val="0"/>
          <w:sz w:val="32"/>
          <w:szCs w:val="32"/>
          <w:shd w:val="clear" w:fill="FFFFFF"/>
          <w:lang w:eastAsia="zh-CN"/>
        </w:rPr>
        <w:t>，</w:t>
      </w:r>
      <w:r>
        <w:rPr>
          <w:rFonts w:hint="eastAsia" w:ascii="仿宋_GB2312" w:hAnsi="仿宋_GB2312" w:eastAsia="仿宋_GB2312" w:cs="仿宋_GB2312"/>
          <w:i w:val="0"/>
          <w:iCs w:val="0"/>
          <w:caps w:val="0"/>
          <w:color w:val="auto"/>
          <w:spacing w:val="0"/>
          <w:sz w:val="32"/>
          <w:szCs w:val="32"/>
          <w:shd w:val="clear" w:fill="FFFFFF"/>
        </w:rPr>
        <w:t>推进土地节约集约利用。</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二、切实加强永久基本农田保护工作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已划定的永久基本农田，任何单位和个人不得擅自占用或改变用途。一般建设项目不得占用永久基本农田，重大建设项目选址确实难以避让永久基本农田的，经依法批准，按照“数量不减、质量不降”原则，在镇域范围内可以长期稳定利用的耕地上落实永久基本农田补划任务，镇域内无法落实的，可在</w:t>
      </w:r>
      <w:r>
        <w:rPr>
          <w:rFonts w:hint="eastAsia" w:ascii="仿宋_GB2312" w:hAnsi="仿宋_GB2312" w:eastAsia="仿宋_GB2312" w:cs="仿宋_GB2312"/>
          <w:i w:val="0"/>
          <w:iCs w:val="0"/>
          <w:caps w:val="0"/>
          <w:color w:val="auto"/>
          <w:spacing w:val="0"/>
          <w:sz w:val="32"/>
          <w:szCs w:val="32"/>
          <w:highlight w:val="none"/>
          <w:shd w:val="clear" w:fill="FFFFFF"/>
          <w:lang w:eastAsia="zh-CN"/>
        </w:rPr>
        <w:t>辖区</w:t>
      </w:r>
      <w:r>
        <w:rPr>
          <w:rFonts w:hint="eastAsia" w:ascii="仿宋_GB2312" w:hAnsi="仿宋_GB2312" w:eastAsia="仿宋_GB2312" w:cs="仿宋_GB2312"/>
          <w:i w:val="0"/>
          <w:iCs w:val="0"/>
          <w:caps w:val="0"/>
          <w:color w:val="auto"/>
          <w:spacing w:val="0"/>
          <w:sz w:val="32"/>
          <w:szCs w:val="32"/>
          <w:highlight w:val="none"/>
          <w:shd w:val="clear" w:fill="FFFFFF"/>
        </w:rPr>
        <w:t>范围内采取有偿方式进行异地代保，代保任务经核实确认后调整所涉及镇永久基本农田保护任务。永久基本农田不得转为林地、草地、园地等其他农用地及设施农用地。</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auto"/>
          <w:spacing w:val="0"/>
          <w:sz w:val="32"/>
          <w:szCs w:val="32"/>
          <w:highlight w:val="none"/>
        </w:rPr>
      </w:pPr>
      <w:r>
        <w:rPr>
          <w:rFonts w:hint="eastAsia" w:ascii="黑体" w:hAnsi="黑体" w:eastAsia="黑体" w:cs="黑体"/>
          <w:i w:val="0"/>
          <w:iCs w:val="0"/>
          <w:caps w:val="0"/>
          <w:color w:val="auto"/>
          <w:spacing w:val="0"/>
          <w:sz w:val="32"/>
          <w:szCs w:val="32"/>
          <w:highlight w:val="none"/>
          <w:shd w:val="clear" w:fill="FFFFFF"/>
        </w:rPr>
        <w:t>三、推进耕地质量提升与保护</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eastAsia="zh-CN"/>
        </w:rPr>
        <w:t>一</w:t>
      </w:r>
      <w:r>
        <w:rPr>
          <w:rFonts w:hint="eastAsia" w:ascii="楷体" w:hAnsi="楷体" w:eastAsia="楷体" w:cs="楷体"/>
          <w:i w:val="0"/>
          <w:iCs w:val="0"/>
          <w:caps w:val="0"/>
          <w:color w:val="auto"/>
          <w:spacing w:val="0"/>
          <w:sz w:val="32"/>
          <w:szCs w:val="32"/>
          <w:shd w:val="clear" w:fill="FFFFFF"/>
        </w:rPr>
        <w:t>）规范耕地占补平衡。</w:t>
      </w:r>
      <w:r>
        <w:rPr>
          <w:rFonts w:hint="eastAsia" w:ascii="仿宋_GB2312" w:hAnsi="仿宋_GB2312" w:eastAsia="仿宋_GB2312" w:cs="仿宋_GB2312"/>
          <w:i w:val="0"/>
          <w:iCs w:val="0"/>
          <w:caps w:val="0"/>
          <w:color w:val="auto"/>
          <w:spacing w:val="0"/>
          <w:sz w:val="32"/>
          <w:szCs w:val="32"/>
          <w:shd w:val="clear" w:fill="FFFFFF"/>
          <w:lang w:eastAsia="zh-CN"/>
        </w:rPr>
        <w:t>两镇</w:t>
      </w:r>
      <w:r>
        <w:rPr>
          <w:rFonts w:hint="eastAsia" w:ascii="仿宋_GB2312" w:hAnsi="仿宋_GB2312" w:eastAsia="仿宋_GB2312" w:cs="仿宋_GB2312"/>
          <w:i w:val="0"/>
          <w:iCs w:val="0"/>
          <w:caps w:val="0"/>
          <w:color w:val="auto"/>
          <w:spacing w:val="0"/>
          <w:sz w:val="32"/>
          <w:szCs w:val="32"/>
          <w:shd w:val="clear" w:fill="FFFFFF"/>
        </w:rPr>
        <w:t>要</w:t>
      </w:r>
      <w:r>
        <w:rPr>
          <w:rFonts w:hint="eastAsia" w:ascii="仿宋_GB2312" w:hAnsi="仿宋_GB2312" w:eastAsia="仿宋_GB2312" w:cs="仿宋_GB2312"/>
          <w:i w:val="0"/>
          <w:iCs w:val="0"/>
          <w:caps w:val="0"/>
          <w:color w:val="auto"/>
          <w:spacing w:val="0"/>
          <w:sz w:val="32"/>
          <w:szCs w:val="32"/>
          <w:shd w:val="clear" w:fill="FFFFFF"/>
          <w:lang w:eastAsia="zh-CN"/>
        </w:rPr>
        <w:t>贯彻</w:t>
      </w:r>
      <w:r>
        <w:rPr>
          <w:rFonts w:hint="eastAsia" w:ascii="仿宋_GB2312" w:hAnsi="仿宋_GB2312" w:eastAsia="仿宋_GB2312" w:cs="仿宋_GB2312"/>
          <w:i w:val="0"/>
          <w:iCs w:val="0"/>
          <w:caps w:val="0"/>
          <w:color w:val="auto"/>
          <w:spacing w:val="0"/>
          <w:sz w:val="32"/>
          <w:szCs w:val="32"/>
          <w:shd w:val="clear" w:fill="FFFFFF"/>
        </w:rPr>
        <w:t>落实年度补充耕地任务，确保保质保量完成耕地占补平衡补充任务。在符合生态保护要求的前提下，通过组织实施土地综合整治、土地整理、建设用地复垦、未利用地开发、高标准农田建设等多种方式，合理拓展耕地后备资源，补充可以长期稳定利用的耕地。加强对补充耕地项目新增耕地的核实认定和后期管理，确保新增耕地保持耕种状况。对新增耕地后期管护不到位且经整改仍然不到位的，核减补充耕地指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eastAsia="zh-CN"/>
        </w:rPr>
        <w:t>二</w:t>
      </w:r>
      <w:r>
        <w:rPr>
          <w:rFonts w:hint="eastAsia" w:ascii="楷体" w:hAnsi="楷体" w:eastAsia="楷体" w:cs="楷体"/>
          <w:i w:val="0"/>
          <w:iCs w:val="0"/>
          <w:caps w:val="0"/>
          <w:color w:val="auto"/>
          <w:spacing w:val="0"/>
          <w:sz w:val="32"/>
          <w:szCs w:val="32"/>
          <w:shd w:val="clear" w:fill="FFFFFF"/>
        </w:rPr>
        <w:t>）实施耕地质量保护与提升行动。</w:t>
      </w:r>
      <w:r>
        <w:rPr>
          <w:rFonts w:hint="eastAsia" w:ascii="仿宋_GB2312" w:hAnsi="仿宋_GB2312" w:eastAsia="仿宋_GB2312" w:cs="仿宋_GB2312"/>
          <w:i w:val="0"/>
          <w:iCs w:val="0"/>
          <w:caps w:val="0"/>
          <w:color w:val="auto"/>
          <w:spacing w:val="0"/>
          <w:sz w:val="32"/>
          <w:szCs w:val="32"/>
          <w:shd w:val="clear" w:fill="FFFFFF"/>
        </w:rPr>
        <w:t>加强耕地质量调查评价和监测，定期对耕地质量动态变化情况进行评价。切实提升农业综合生产能力。</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四、坚决制止耕地“非农化”“非粮化”</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42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eastAsia="zh-CN"/>
        </w:rPr>
        <w:t>一</w:t>
      </w:r>
      <w:r>
        <w:rPr>
          <w:rFonts w:hint="eastAsia" w:ascii="楷体" w:hAnsi="楷体" w:eastAsia="楷体" w:cs="楷体"/>
          <w:i w:val="0"/>
          <w:iCs w:val="0"/>
          <w:caps w:val="0"/>
          <w:color w:val="auto"/>
          <w:spacing w:val="0"/>
          <w:sz w:val="32"/>
          <w:szCs w:val="32"/>
          <w:shd w:val="clear" w:fill="FFFFFF"/>
        </w:rPr>
        <w:t>）坚决制止耕地“非农化”、防止耕地“非粮化”。</w:t>
      </w:r>
      <w:r>
        <w:rPr>
          <w:rFonts w:hint="eastAsia" w:ascii="仿宋_GB2312" w:hAnsi="仿宋_GB2312" w:eastAsia="仿宋_GB2312" w:cs="仿宋_GB2312"/>
          <w:i w:val="0"/>
          <w:iCs w:val="0"/>
          <w:caps w:val="0"/>
          <w:color w:val="auto"/>
          <w:spacing w:val="0"/>
          <w:sz w:val="32"/>
          <w:szCs w:val="32"/>
          <w:shd w:val="clear" w:fill="FFFFFF"/>
          <w:lang w:eastAsia="zh-CN"/>
        </w:rPr>
        <w:t>两镇</w:t>
      </w:r>
      <w:r>
        <w:rPr>
          <w:rFonts w:hint="eastAsia" w:ascii="仿宋_GB2312" w:hAnsi="仿宋_GB2312" w:eastAsia="仿宋_GB2312" w:cs="仿宋_GB2312"/>
          <w:i w:val="0"/>
          <w:iCs w:val="0"/>
          <w:caps w:val="0"/>
          <w:color w:val="auto"/>
          <w:spacing w:val="0"/>
          <w:sz w:val="32"/>
          <w:szCs w:val="32"/>
          <w:shd w:val="clear" w:fill="FFFFFF"/>
        </w:rPr>
        <w:t>要落实主体责任，对</w:t>
      </w:r>
      <w:r>
        <w:rPr>
          <w:rFonts w:hint="eastAsia" w:ascii="仿宋_GB2312" w:hAnsi="仿宋_GB2312" w:eastAsia="仿宋_GB2312" w:cs="仿宋_GB2312"/>
          <w:i w:val="0"/>
          <w:iCs w:val="0"/>
          <w:caps w:val="0"/>
          <w:color w:val="auto"/>
          <w:spacing w:val="0"/>
          <w:sz w:val="32"/>
          <w:szCs w:val="32"/>
          <w:shd w:val="clear" w:fill="FFFFFF"/>
          <w:lang w:eastAsia="zh-CN"/>
        </w:rPr>
        <w:t>镇域内</w:t>
      </w:r>
      <w:r>
        <w:rPr>
          <w:rFonts w:hint="eastAsia" w:ascii="仿宋_GB2312" w:hAnsi="仿宋_GB2312" w:eastAsia="仿宋_GB2312" w:cs="仿宋_GB2312"/>
          <w:i w:val="0"/>
          <w:iCs w:val="0"/>
          <w:caps w:val="0"/>
          <w:color w:val="auto"/>
          <w:spacing w:val="0"/>
          <w:sz w:val="32"/>
          <w:szCs w:val="32"/>
          <w:shd w:val="clear" w:fill="FFFFFF"/>
        </w:rPr>
        <w:t>制止耕地“非农化”、防止耕地“非粮化”负总责，要采取有力措施，强化监督管理，</w:t>
      </w:r>
      <w:r>
        <w:rPr>
          <w:rFonts w:hint="eastAsia" w:ascii="仿宋_GB2312" w:hAnsi="仿宋_GB2312" w:eastAsia="仿宋_GB2312" w:cs="仿宋_GB2312"/>
          <w:i w:val="0"/>
          <w:iCs w:val="0"/>
          <w:caps w:val="0"/>
          <w:color w:val="auto"/>
          <w:spacing w:val="0"/>
          <w:sz w:val="32"/>
          <w:szCs w:val="32"/>
          <w:highlight w:val="none"/>
          <w:shd w:val="clear" w:fill="FFFFFF"/>
        </w:rPr>
        <w:t>落实最严格的耕地保护制度，做到“五不得”“六严禁”“八不准”，坚决制止</w:t>
      </w:r>
      <w:r>
        <w:rPr>
          <w:rFonts w:hint="eastAsia" w:ascii="仿宋_GB2312" w:hAnsi="仿宋_GB2312" w:eastAsia="仿宋_GB2312" w:cs="仿宋_GB2312"/>
          <w:i w:val="0"/>
          <w:iCs w:val="0"/>
          <w:caps w:val="0"/>
          <w:color w:val="auto"/>
          <w:spacing w:val="0"/>
          <w:sz w:val="32"/>
          <w:szCs w:val="32"/>
          <w:shd w:val="clear" w:fill="FFFFFF"/>
        </w:rPr>
        <w:t>耕地“非农化”、防止耕地“非粮化”行为。对耕地实行特殊保护和用途管制，严格控制耕地转为林地、草地、园地等其他农用地及农业设施建设用地。</w:t>
      </w:r>
      <w:r>
        <w:rPr>
          <w:rFonts w:hint="eastAsia" w:ascii="仿宋_GB2312" w:hAnsi="仿宋_GB2312" w:eastAsia="仿宋_GB2312" w:cs="仿宋_GB2312"/>
          <w:i w:val="0"/>
          <w:iCs w:val="0"/>
          <w:caps w:val="0"/>
          <w:color w:val="auto"/>
          <w:spacing w:val="0"/>
          <w:sz w:val="32"/>
          <w:szCs w:val="32"/>
          <w:shd w:val="clear" w:fill="FFFFFF"/>
          <w:lang w:eastAsia="zh-CN"/>
        </w:rPr>
        <w:t>镇人民政府及自然资源部门</w:t>
      </w:r>
      <w:r>
        <w:rPr>
          <w:rFonts w:hint="eastAsia" w:ascii="仿宋_GB2312" w:hAnsi="仿宋_GB2312" w:eastAsia="仿宋_GB2312" w:cs="仿宋_GB2312"/>
          <w:i w:val="0"/>
          <w:iCs w:val="0"/>
          <w:caps w:val="0"/>
          <w:color w:val="auto"/>
          <w:spacing w:val="0"/>
          <w:sz w:val="32"/>
          <w:szCs w:val="32"/>
          <w:shd w:val="clear" w:fill="FFFFFF"/>
        </w:rPr>
        <w:t>做好制止耕地“非农化”、防止耕地“非粮化”的监管责任，按照职责分工共同抓好落实，建立耕地保护联合监督机制，利用每年度遥感卫片、</w:t>
      </w:r>
      <w:r>
        <w:rPr>
          <w:rFonts w:hint="eastAsia" w:ascii="仿宋_GB2312" w:hAnsi="仿宋_GB2312" w:eastAsia="仿宋_GB2312" w:cs="仿宋_GB2312"/>
          <w:i w:val="0"/>
          <w:iCs w:val="0"/>
          <w:caps w:val="0"/>
          <w:color w:val="auto"/>
          <w:spacing w:val="0"/>
          <w:sz w:val="32"/>
          <w:szCs w:val="32"/>
          <w:shd w:val="clear" w:fill="FFFFFF"/>
          <w:lang w:eastAsia="zh-CN"/>
        </w:rPr>
        <w:t>天眼系统</w:t>
      </w:r>
      <w:r>
        <w:rPr>
          <w:rFonts w:hint="eastAsia" w:ascii="仿宋_GB2312" w:hAnsi="仿宋_GB2312" w:eastAsia="仿宋_GB2312" w:cs="仿宋_GB2312"/>
          <w:i w:val="0"/>
          <w:iCs w:val="0"/>
          <w:caps w:val="0"/>
          <w:color w:val="auto"/>
          <w:spacing w:val="0"/>
          <w:sz w:val="32"/>
          <w:szCs w:val="32"/>
          <w:shd w:val="clear" w:fill="FFFFFF"/>
        </w:rPr>
        <w:t>以及</w:t>
      </w:r>
      <w:r>
        <w:rPr>
          <w:rFonts w:hint="eastAsia" w:ascii="仿宋_GB2312" w:hAnsi="仿宋_GB2312" w:eastAsia="仿宋_GB2312" w:cs="仿宋_GB2312"/>
          <w:i w:val="0"/>
          <w:iCs w:val="0"/>
          <w:caps w:val="0"/>
          <w:color w:val="auto"/>
          <w:spacing w:val="0"/>
          <w:sz w:val="32"/>
          <w:szCs w:val="32"/>
          <w:shd w:val="clear" w:fill="FFFFFF"/>
          <w:lang w:eastAsia="zh-CN"/>
        </w:rPr>
        <w:t>“田长制”</w:t>
      </w:r>
      <w:r>
        <w:rPr>
          <w:rFonts w:hint="eastAsia" w:ascii="仿宋_GB2312" w:hAnsi="仿宋_GB2312" w:eastAsia="仿宋_GB2312" w:cs="仿宋_GB2312"/>
          <w:i w:val="0"/>
          <w:iCs w:val="0"/>
          <w:caps w:val="0"/>
          <w:color w:val="auto"/>
          <w:spacing w:val="0"/>
          <w:sz w:val="32"/>
          <w:szCs w:val="32"/>
          <w:shd w:val="clear" w:fill="FFFFFF"/>
        </w:rPr>
        <w:t>的</w:t>
      </w:r>
      <w:r>
        <w:rPr>
          <w:rFonts w:hint="eastAsia" w:ascii="仿宋_GB2312" w:hAnsi="仿宋_GB2312" w:eastAsia="仿宋_GB2312" w:cs="仿宋_GB2312"/>
          <w:i w:val="0"/>
          <w:iCs w:val="0"/>
          <w:caps w:val="0"/>
          <w:color w:val="auto"/>
          <w:spacing w:val="0"/>
          <w:sz w:val="32"/>
          <w:szCs w:val="32"/>
          <w:shd w:val="clear" w:fill="FFFFFF"/>
          <w:lang w:eastAsia="zh-CN"/>
        </w:rPr>
        <w:t>巡</w:t>
      </w:r>
      <w:r>
        <w:rPr>
          <w:rFonts w:hint="eastAsia" w:ascii="仿宋_GB2312" w:hAnsi="仿宋_GB2312" w:eastAsia="仿宋_GB2312" w:cs="仿宋_GB2312"/>
          <w:i w:val="0"/>
          <w:iCs w:val="0"/>
          <w:caps w:val="0"/>
          <w:color w:val="auto"/>
          <w:spacing w:val="0"/>
          <w:sz w:val="32"/>
          <w:szCs w:val="32"/>
          <w:shd w:val="clear" w:fill="FFFFFF"/>
        </w:rPr>
        <w:t>查，及时发现和制止耕地“非农化”“非粮化”行为。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i w:val="0"/>
          <w:iCs w:val="0"/>
          <w:caps w:val="0"/>
          <w:color w:val="auto"/>
          <w:spacing w:val="0"/>
          <w:sz w:val="32"/>
          <w:szCs w:val="32"/>
          <w:shd w:val="clear" w:fill="FFFFFF"/>
          <w:lang w:eastAsia="zh-CN"/>
        </w:rPr>
        <w:t>（二）明确耕地种植利用优先顺序。</w:t>
      </w:r>
      <w:r>
        <w:rPr>
          <w:rFonts w:hint="eastAsia" w:ascii="仿宋_GB2312" w:hAnsi="仿宋_GB2312" w:eastAsia="仿宋_GB2312" w:cs="仿宋_GB2312"/>
          <w:i w:val="0"/>
          <w:iCs w:val="0"/>
          <w:caps w:val="0"/>
          <w:color w:val="auto"/>
          <w:spacing w:val="0"/>
          <w:sz w:val="32"/>
          <w:szCs w:val="32"/>
          <w:shd w:val="clear" w:fill="FFFFFF"/>
        </w:rPr>
        <w:t>分类明确耕地用途，严格落实耕地利用优先顺序，永久基本农田要重点用于发展粮食生产，优先保障稻谷、小麦、玉米三大谷物的种植面积，高标准农田原则上全部用于粮食生产，一般耕地主要用于粮食和棉、油、糖、蔬菜等农产品及饲料生产；在不破坏耕地耕作层且不造成耕地地类变化的前提下，可以适度种植其他农作物。</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五、规范设施农业和临时用地管理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楷体" w:hAnsi="楷体" w:eastAsia="楷体" w:cs="楷体"/>
          <w:i w:val="0"/>
          <w:iCs w:val="0"/>
          <w:caps w:val="0"/>
          <w:color w:val="auto"/>
          <w:spacing w:val="0"/>
          <w:sz w:val="32"/>
          <w:szCs w:val="32"/>
          <w:shd w:val="clear" w:fill="FFFFFF"/>
        </w:rPr>
        <w:t>（一）规范设施农业用地管理。</w:t>
      </w:r>
      <w:r>
        <w:rPr>
          <w:rFonts w:hint="eastAsia" w:ascii="仿宋_GB2312" w:hAnsi="仿宋_GB2312" w:eastAsia="仿宋_GB2312" w:cs="仿宋_GB2312"/>
          <w:i w:val="0"/>
          <w:iCs w:val="0"/>
          <w:caps w:val="0"/>
          <w:color w:val="auto"/>
          <w:spacing w:val="0"/>
          <w:sz w:val="32"/>
          <w:szCs w:val="32"/>
          <w:shd w:val="clear" w:fill="FFFFFF"/>
        </w:rPr>
        <w:t>新增设施农业用地应在符合</w:t>
      </w:r>
      <w:r>
        <w:rPr>
          <w:rFonts w:hint="eastAsia" w:ascii="仿宋_GB2312" w:hAnsi="仿宋_GB2312" w:eastAsia="仿宋_GB2312" w:cs="仿宋_GB2312"/>
          <w:i w:val="0"/>
          <w:iCs w:val="0"/>
          <w:caps w:val="0"/>
          <w:color w:val="auto"/>
          <w:spacing w:val="0"/>
          <w:sz w:val="32"/>
          <w:szCs w:val="32"/>
          <w:shd w:val="clear" w:fill="FFFFFF"/>
          <w:lang w:eastAsia="zh-CN"/>
        </w:rPr>
        <w:t>相关</w:t>
      </w:r>
      <w:r>
        <w:rPr>
          <w:rFonts w:hint="eastAsia" w:ascii="仿宋_GB2312" w:hAnsi="仿宋_GB2312" w:eastAsia="仿宋_GB2312" w:cs="仿宋_GB2312"/>
          <w:i w:val="0"/>
          <w:iCs w:val="0"/>
          <w:caps w:val="0"/>
          <w:color w:val="auto"/>
          <w:spacing w:val="0"/>
          <w:sz w:val="32"/>
          <w:szCs w:val="32"/>
          <w:shd w:val="clear" w:fill="FFFFFF"/>
        </w:rPr>
        <w:t>要求的情况下合理选址，尽量利用坑塘水面</w:t>
      </w:r>
      <w:r>
        <w:rPr>
          <w:rFonts w:hint="eastAsia" w:ascii="仿宋_GB2312" w:hAnsi="仿宋_GB2312" w:eastAsia="仿宋_GB2312" w:cs="仿宋_GB2312"/>
          <w:i w:val="0"/>
          <w:iCs w:val="0"/>
          <w:caps w:val="0"/>
          <w:color w:val="auto"/>
          <w:spacing w:val="0"/>
          <w:sz w:val="32"/>
          <w:szCs w:val="32"/>
          <w:shd w:val="clear" w:fill="FFFFFF"/>
          <w:lang w:eastAsia="zh-CN"/>
        </w:rPr>
        <w:t>、未利用地等</w:t>
      </w:r>
      <w:r>
        <w:rPr>
          <w:rFonts w:hint="eastAsia" w:ascii="仿宋_GB2312" w:hAnsi="仿宋_GB2312" w:eastAsia="仿宋_GB2312" w:cs="仿宋_GB2312"/>
          <w:i w:val="0"/>
          <w:iCs w:val="0"/>
          <w:caps w:val="0"/>
          <w:color w:val="auto"/>
          <w:spacing w:val="0"/>
          <w:sz w:val="32"/>
          <w:szCs w:val="32"/>
          <w:shd w:val="clear" w:fill="FFFFFF"/>
        </w:rPr>
        <w:t>，农村闲置设施农用地或质量较差的耕地发展设施农业，尽量不占或少占优质耕地，鼓励实施农业项目利用存量低效建设用地</w:t>
      </w:r>
      <w:r>
        <w:rPr>
          <w:rFonts w:hint="eastAsia" w:ascii="仿宋_GB2312" w:hAnsi="仿宋_GB2312" w:eastAsia="仿宋_GB2312" w:cs="仿宋_GB2312"/>
          <w:i w:val="0"/>
          <w:iCs w:val="0"/>
          <w:caps w:val="0"/>
          <w:color w:val="auto"/>
          <w:spacing w:val="0"/>
          <w:sz w:val="32"/>
          <w:szCs w:val="32"/>
          <w:highlight w:val="none"/>
          <w:shd w:val="clear" w:fill="FFFFFF"/>
        </w:rPr>
        <w:t>。严格控制新增的养殖设施和破坏耕作层的种植业设施使用一般耕地，实施主体确需使用的，必须符合</w:t>
      </w:r>
      <w:r>
        <w:rPr>
          <w:rFonts w:hint="eastAsia" w:ascii="仿宋_GB2312" w:hAnsi="仿宋_GB2312" w:eastAsia="仿宋_GB2312" w:cs="仿宋_GB2312"/>
          <w:i w:val="0"/>
          <w:iCs w:val="0"/>
          <w:caps w:val="0"/>
          <w:color w:val="auto"/>
          <w:spacing w:val="0"/>
          <w:sz w:val="32"/>
          <w:szCs w:val="32"/>
          <w:highlight w:val="none"/>
          <w:shd w:val="clear" w:fill="FFFFFF"/>
          <w:lang w:eastAsia="zh-CN"/>
        </w:rPr>
        <w:t>设施农业用地建设标准</w:t>
      </w:r>
      <w:r>
        <w:rPr>
          <w:rFonts w:hint="eastAsia" w:ascii="仿宋_GB2312" w:hAnsi="仿宋_GB2312" w:eastAsia="仿宋_GB2312" w:cs="仿宋_GB2312"/>
          <w:i w:val="0"/>
          <w:iCs w:val="0"/>
          <w:caps w:val="0"/>
          <w:color w:val="auto"/>
          <w:spacing w:val="0"/>
          <w:sz w:val="32"/>
          <w:szCs w:val="32"/>
          <w:highlight w:val="none"/>
          <w:shd w:val="clear" w:fill="FFFFFF"/>
        </w:rPr>
        <w:t>并经</w:t>
      </w:r>
      <w:r>
        <w:rPr>
          <w:rFonts w:hint="eastAsia" w:ascii="仿宋_GB2312" w:hAnsi="仿宋_GB2312" w:eastAsia="仿宋_GB2312" w:cs="仿宋_GB2312"/>
          <w:i w:val="0"/>
          <w:iCs w:val="0"/>
          <w:caps w:val="0"/>
          <w:color w:val="auto"/>
          <w:spacing w:val="0"/>
          <w:sz w:val="32"/>
          <w:szCs w:val="32"/>
          <w:highlight w:val="none"/>
          <w:shd w:val="clear" w:fill="FFFFFF"/>
          <w:lang w:eastAsia="zh-CN"/>
        </w:rPr>
        <w:t>镇</w:t>
      </w:r>
      <w:r>
        <w:rPr>
          <w:rFonts w:hint="eastAsia" w:ascii="仿宋_GB2312" w:hAnsi="仿宋_GB2312" w:eastAsia="仿宋_GB2312" w:cs="仿宋_GB2312"/>
          <w:i w:val="0"/>
          <w:iCs w:val="0"/>
          <w:caps w:val="0"/>
          <w:color w:val="auto"/>
          <w:spacing w:val="0"/>
          <w:sz w:val="32"/>
          <w:szCs w:val="32"/>
          <w:highlight w:val="none"/>
          <w:shd w:val="clear" w:fill="FFFFFF"/>
        </w:rPr>
        <w:t>人民政府批准纳入年度耕地“进出平衡”方案后，方能申报备案，坚决杜绝借设施农用地之名，搞经营性项目，一经发现必须严格查处，并追究相关人员的责任。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楷体" w:hAnsi="楷体" w:eastAsia="楷体" w:cs="楷体"/>
          <w:i w:val="0"/>
          <w:iCs w:val="0"/>
          <w:caps w:val="0"/>
          <w:color w:val="auto"/>
          <w:spacing w:val="0"/>
          <w:sz w:val="32"/>
          <w:szCs w:val="32"/>
          <w:shd w:val="clear" w:fill="FFFFFF"/>
        </w:rPr>
        <w:t>（二）加强临时用地管理。</w:t>
      </w:r>
      <w:r>
        <w:rPr>
          <w:rFonts w:hint="eastAsia" w:ascii="仿宋_GB2312" w:hAnsi="仿宋_GB2312" w:eastAsia="仿宋_GB2312" w:cs="仿宋_GB2312"/>
          <w:i w:val="0"/>
          <w:iCs w:val="0"/>
          <w:caps w:val="0"/>
          <w:color w:val="auto"/>
          <w:spacing w:val="0"/>
          <w:sz w:val="32"/>
          <w:szCs w:val="32"/>
          <w:shd w:val="clear" w:fill="FFFFFF"/>
        </w:rPr>
        <w:t>建设项目施工使用临时用地时应坚持“用多少、批多少、占多少、恢复多少”，尽量不占或者少占耕地，原则上不得占用永久基本农田，确需占用的，必须确保能够恢复原种植条件，并符合《自然资源部农业农村部关于加强和改进永久基本农田保护工作的通知》（自然资规〔2019〕1号）中申请条件、土壤剥离、复垦验收等相关规定。制梁场、拌合站等难以恢复原种植条件的项目用地不得以临时用地方式占用耕地（直接服务于铁路工程施工制梁场、拌合站除外）和永久基本农田。</w:t>
      </w:r>
      <w:r>
        <w:rPr>
          <w:rFonts w:hint="eastAsia" w:ascii="仿宋_GB2312" w:hAnsi="仿宋_GB2312" w:eastAsia="仿宋_GB2312" w:cs="仿宋_GB2312"/>
          <w:i w:val="0"/>
          <w:iCs w:val="0"/>
          <w:caps w:val="0"/>
          <w:color w:val="auto"/>
          <w:spacing w:val="0"/>
          <w:sz w:val="32"/>
          <w:szCs w:val="32"/>
          <w:shd w:val="clear" w:fill="FFFFFF"/>
          <w:lang w:eastAsia="zh-CN"/>
        </w:rPr>
        <w:t>确需占用的，</w:t>
      </w:r>
      <w:r>
        <w:rPr>
          <w:rFonts w:hint="eastAsia" w:ascii="仿宋_GB2312" w:hAnsi="仿宋_GB2312" w:eastAsia="仿宋_GB2312" w:cs="仿宋_GB2312"/>
          <w:i w:val="0"/>
          <w:iCs w:val="0"/>
          <w:caps w:val="0"/>
          <w:color w:val="auto"/>
          <w:spacing w:val="0"/>
          <w:sz w:val="32"/>
          <w:szCs w:val="32"/>
          <w:shd w:val="clear" w:fill="FFFFFF"/>
        </w:rPr>
        <w:t>及时做好临时用地审批、备案、复垦、验收、耕地质量评定等工作。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六、全面落实耕地年度“进出平衡”</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楷体" w:hAnsi="楷体" w:eastAsia="楷体" w:cs="楷体"/>
          <w:i w:val="0"/>
          <w:iCs w:val="0"/>
          <w:caps w:val="0"/>
          <w:color w:val="auto"/>
          <w:spacing w:val="0"/>
          <w:sz w:val="32"/>
          <w:szCs w:val="32"/>
          <w:highlight w:val="none"/>
          <w:shd w:val="clear" w:fill="FFFFFF"/>
        </w:rPr>
        <w:t>（</w:t>
      </w:r>
      <w:r>
        <w:rPr>
          <w:rFonts w:hint="eastAsia" w:ascii="楷体" w:hAnsi="楷体" w:eastAsia="楷体" w:cs="楷体"/>
          <w:i w:val="0"/>
          <w:iCs w:val="0"/>
          <w:caps w:val="0"/>
          <w:color w:val="auto"/>
          <w:spacing w:val="0"/>
          <w:sz w:val="32"/>
          <w:szCs w:val="32"/>
          <w:highlight w:val="none"/>
          <w:shd w:val="clear" w:fill="FFFFFF"/>
          <w:lang w:eastAsia="zh-CN"/>
        </w:rPr>
        <w:t>一</w:t>
      </w:r>
      <w:r>
        <w:rPr>
          <w:rFonts w:hint="eastAsia" w:ascii="楷体" w:hAnsi="楷体" w:eastAsia="楷体" w:cs="楷体"/>
          <w:i w:val="0"/>
          <w:iCs w:val="0"/>
          <w:caps w:val="0"/>
          <w:color w:val="auto"/>
          <w:spacing w:val="0"/>
          <w:sz w:val="32"/>
          <w:szCs w:val="32"/>
          <w:highlight w:val="none"/>
          <w:shd w:val="clear" w:fill="FFFFFF"/>
        </w:rPr>
        <w:t>）认真落实耕地“进出平衡”。</w:t>
      </w:r>
      <w:r>
        <w:rPr>
          <w:rFonts w:hint="eastAsia" w:ascii="仿宋_GB2312" w:hAnsi="仿宋_GB2312" w:eastAsia="仿宋_GB2312" w:cs="仿宋_GB2312"/>
          <w:i w:val="0"/>
          <w:iCs w:val="0"/>
          <w:caps w:val="0"/>
          <w:color w:val="auto"/>
          <w:spacing w:val="0"/>
          <w:sz w:val="32"/>
          <w:szCs w:val="32"/>
          <w:highlight w:val="none"/>
          <w:shd w:val="clear" w:fill="FFFFFF"/>
        </w:rPr>
        <w:t>为了确保可以长期稳定利用的耕地不再减少，依据国家政策，严格管控一般耕地用途改变，确需改变的，必须落实耕地“进出平衡”。“进出平衡”方案由镇</w:t>
      </w:r>
      <w:r>
        <w:rPr>
          <w:rFonts w:hint="eastAsia" w:ascii="仿宋_GB2312" w:hAnsi="仿宋_GB2312" w:eastAsia="仿宋_GB2312" w:cs="仿宋_GB2312"/>
          <w:i w:val="0"/>
          <w:iCs w:val="0"/>
          <w:caps w:val="0"/>
          <w:color w:val="auto"/>
          <w:spacing w:val="0"/>
          <w:sz w:val="32"/>
          <w:szCs w:val="32"/>
          <w:highlight w:val="none"/>
          <w:shd w:val="clear" w:fill="FFFFFF"/>
          <w:lang w:eastAsia="zh-CN"/>
        </w:rPr>
        <w:t>人民政府</w:t>
      </w:r>
      <w:r>
        <w:rPr>
          <w:rFonts w:hint="eastAsia" w:ascii="仿宋_GB2312" w:hAnsi="仿宋_GB2312" w:eastAsia="仿宋_GB2312" w:cs="仿宋_GB2312"/>
          <w:i w:val="0"/>
          <w:iCs w:val="0"/>
          <w:caps w:val="0"/>
          <w:color w:val="auto"/>
          <w:spacing w:val="0"/>
          <w:sz w:val="32"/>
          <w:szCs w:val="32"/>
          <w:highlight w:val="none"/>
          <w:shd w:val="clear" w:fill="FFFFFF"/>
        </w:rPr>
        <w:t>提出申报，</w:t>
      </w:r>
      <w:r>
        <w:rPr>
          <w:rFonts w:hint="eastAsia" w:ascii="仿宋_GB2312" w:hAnsi="仿宋_GB2312" w:eastAsia="仿宋_GB2312" w:cs="仿宋_GB2312"/>
          <w:i w:val="0"/>
          <w:iCs w:val="0"/>
          <w:caps w:val="0"/>
          <w:color w:val="auto"/>
          <w:spacing w:val="0"/>
          <w:sz w:val="32"/>
          <w:szCs w:val="32"/>
          <w:highlight w:val="none"/>
          <w:shd w:val="clear" w:fill="FFFFFF"/>
          <w:lang w:eastAsia="zh-CN"/>
        </w:rPr>
        <w:t>区级</w:t>
      </w:r>
      <w:r>
        <w:rPr>
          <w:rFonts w:hint="eastAsia" w:ascii="仿宋_GB2312" w:hAnsi="仿宋_GB2312" w:eastAsia="仿宋_GB2312" w:cs="仿宋_GB2312"/>
          <w:i w:val="0"/>
          <w:iCs w:val="0"/>
          <w:caps w:val="0"/>
          <w:color w:val="auto"/>
          <w:spacing w:val="0"/>
          <w:sz w:val="32"/>
          <w:szCs w:val="32"/>
          <w:highlight w:val="none"/>
          <w:shd w:val="clear" w:fill="FFFFFF"/>
        </w:rPr>
        <w:t>自然资源部门编制“进出平衡”总体方案</w:t>
      </w:r>
      <w:r>
        <w:rPr>
          <w:rFonts w:hint="eastAsia" w:ascii="仿宋_GB2312" w:hAnsi="仿宋_GB2312" w:eastAsia="仿宋_GB2312" w:cs="仿宋_GB2312"/>
          <w:i w:val="0"/>
          <w:iCs w:val="0"/>
          <w:caps w:val="0"/>
          <w:color w:val="auto"/>
          <w:spacing w:val="0"/>
          <w:sz w:val="32"/>
          <w:szCs w:val="32"/>
          <w:highlight w:val="none"/>
          <w:shd w:val="clear" w:fill="FFFFFF"/>
          <w:lang w:eastAsia="zh-CN"/>
        </w:rPr>
        <w:t>，</w:t>
      </w:r>
      <w:r>
        <w:rPr>
          <w:rFonts w:hint="eastAsia" w:ascii="仿宋_GB2312" w:hAnsi="仿宋_GB2312" w:eastAsia="仿宋_GB2312" w:cs="仿宋_GB2312"/>
          <w:i w:val="0"/>
          <w:iCs w:val="0"/>
          <w:caps w:val="0"/>
          <w:color w:val="auto"/>
          <w:spacing w:val="0"/>
          <w:sz w:val="32"/>
          <w:szCs w:val="32"/>
          <w:highlight w:val="none"/>
          <w:shd w:val="clear" w:fill="FFFFFF"/>
        </w:rPr>
        <w:t>报</w:t>
      </w:r>
      <w:r>
        <w:rPr>
          <w:rFonts w:hint="eastAsia" w:ascii="仿宋_GB2312" w:hAnsi="仿宋_GB2312" w:eastAsia="仿宋_GB2312" w:cs="仿宋_GB2312"/>
          <w:i w:val="0"/>
          <w:iCs w:val="0"/>
          <w:caps w:val="0"/>
          <w:color w:val="auto"/>
          <w:spacing w:val="0"/>
          <w:sz w:val="32"/>
          <w:szCs w:val="32"/>
          <w:highlight w:val="none"/>
          <w:shd w:val="clear" w:fill="FFFFFF"/>
          <w:lang w:eastAsia="zh-CN"/>
        </w:rPr>
        <w:t>省自然资源厅</w:t>
      </w:r>
      <w:r>
        <w:rPr>
          <w:rFonts w:hint="eastAsia" w:ascii="仿宋_GB2312" w:hAnsi="仿宋_GB2312" w:eastAsia="仿宋_GB2312" w:cs="仿宋_GB2312"/>
          <w:i w:val="0"/>
          <w:iCs w:val="0"/>
          <w:caps w:val="0"/>
          <w:color w:val="auto"/>
          <w:spacing w:val="0"/>
          <w:sz w:val="32"/>
          <w:szCs w:val="32"/>
          <w:highlight w:val="none"/>
          <w:shd w:val="clear" w:fill="FFFFFF"/>
        </w:rPr>
        <w:t>批准后实施。镇人民政府对本辖区内耕地“进出平衡”负总体责任，“耕地转出”的相关实施主体承担落实“耕地转进”具体责任，未能落实责任的，各实施主体根据“耕地转出”情况承担整治费用。在镇域范围内无法落实的，在县域范围内统筹落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i w:val="0"/>
          <w:iCs w:val="0"/>
          <w:caps w:val="0"/>
          <w:color w:val="auto"/>
          <w:spacing w:val="0"/>
          <w:sz w:val="32"/>
          <w:szCs w:val="32"/>
          <w:shd w:val="clear" w:fill="FFFFFF"/>
          <w:lang w:eastAsia="zh-CN"/>
        </w:rPr>
        <w:t>（二）“耕地转进”指标管理。</w:t>
      </w:r>
      <w:r>
        <w:rPr>
          <w:rFonts w:hint="eastAsia" w:ascii="仿宋_GB2312" w:hAnsi="仿宋_GB2312" w:eastAsia="仿宋_GB2312" w:cs="仿宋_GB2312"/>
          <w:i w:val="0"/>
          <w:iCs w:val="0"/>
          <w:caps w:val="0"/>
          <w:color w:val="auto"/>
          <w:spacing w:val="0"/>
          <w:sz w:val="32"/>
          <w:szCs w:val="32"/>
          <w:shd w:val="clear" w:fill="FFFFFF"/>
        </w:rPr>
        <w:t>“耕地转进”项目实施完成后形成“耕地转进”指标，纳入耕地“进出平衡”指标库管理，按照“先</w:t>
      </w:r>
      <w:r>
        <w:rPr>
          <w:rFonts w:hint="eastAsia" w:ascii="仿宋_GB2312" w:hAnsi="仿宋_GB2312" w:eastAsia="仿宋_GB2312" w:cs="仿宋_GB2312"/>
          <w:i w:val="0"/>
          <w:iCs w:val="0"/>
          <w:caps w:val="0"/>
          <w:color w:val="auto"/>
          <w:spacing w:val="0"/>
          <w:sz w:val="32"/>
          <w:szCs w:val="32"/>
          <w:shd w:val="clear" w:fill="FFFFFF"/>
          <w:lang w:eastAsia="zh-CN"/>
        </w:rPr>
        <w:t>进</w:t>
      </w:r>
      <w:r>
        <w:rPr>
          <w:rFonts w:hint="eastAsia" w:ascii="仿宋_GB2312" w:hAnsi="仿宋_GB2312" w:eastAsia="仿宋_GB2312" w:cs="仿宋_GB2312"/>
          <w:i w:val="0"/>
          <w:iCs w:val="0"/>
          <w:caps w:val="0"/>
          <w:color w:val="auto"/>
          <w:spacing w:val="0"/>
          <w:sz w:val="32"/>
          <w:szCs w:val="32"/>
          <w:shd w:val="clear" w:fill="FFFFFF"/>
        </w:rPr>
        <w:t>后</w:t>
      </w:r>
      <w:r>
        <w:rPr>
          <w:rFonts w:hint="eastAsia" w:ascii="仿宋_GB2312" w:hAnsi="仿宋_GB2312" w:eastAsia="仿宋_GB2312" w:cs="仿宋_GB2312"/>
          <w:i w:val="0"/>
          <w:iCs w:val="0"/>
          <w:caps w:val="0"/>
          <w:color w:val="auto"/>
          <w:spacing w:val="0"/>
          <w:sz w:val="32"/>
          <w:szCs w:val="32"/>
          <w:shd w:val="clear" w:fill="FFFFFF"/>
          <w:lang w:eastAsia="zh-CN"/>
        </w:rPr>
        <w:t>出</w:t>
      </w:r>
      <w:r>
        <w:rPr>
          <w:rFonts w:hint="eastAsia" w:ascii="仿宋_GB2312" w:hAnsi="仿宋_GB2312" w:eastAsia="仿宋_GB2312" w:cs="仿宋_GB2312"/>
          <w:i w:val="0"/>
          <w:iCs w:val="0"/>
          <w:caps w:val="0"/>
          <w:color w:val="auto"/>
          <w:spacing w:val="0"/>
          <w:sz w:val="32"/>
          <w:szCs w:val="32"/>
          <w:shd w:val="clear" w:fill="FFFFFF"/>
        </w:rPr>
        <w:t>”的原则，鼓励先期形成指标再使用。建立耕地“耕地转进”指标交易机制，镇</w:t>
      </w:r>
      <w:r>
        <w:rPr>
          <w:rFonts w:hint="eastAsia" w:ascii="仿宋_GB2312" w:hAnsi="仿宋_GB2312" w:eastAsia="仿宋_GB2312" w:cs="仿宋_GB2312"/>
          <w:i w:val="0"/>
          <w:iCs w:val="0"/>
          <w:caps w:val="0"/>
          <w:color w:val="auto"/>
          <w:spacing w:val="0"/>
          <w:sz w:val="32"/>
          <w:szCs w:val="32"/>
          <w:shd w:val="clear" w:fill="FFFFFF"/>
          <w:lang w:eastAsia="zh-CN"/>
        </w:rPr>
        <w:t>政府</w:t>
      </w:r>
      <w:r>
        <w:rPr>
          <w:rFonts w:hint="eastAsia" w:ascii="仿宋_GB2312" w:hAnsi="仿宋_GB2312" w:eastAsia="仿宋_GB2312" w:cs="仿宋_GB2312"/>
          <w:i w:val="0"/>
          <w:iCs w:val="0"/>
          <w:caps w:val="0"/>
          <w:color w:val="auto"/>
          <w:spacing w:val="0"/>
          <w:sz w:val="32"/>
          <w:szCs w:val="32"/>
          <w:shd w:val="clear" w:fill="FFFFFF"/>
        </w:rPr>
        <w:t>无法落实耕地“进出平衡”的，可申请使用</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级统筹的耕地转进指标。</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highlight w:val="none"/>
        </w:rPr>
      </w:pPr>
      <w:r>
        <w:rPr>
          <w:rFonts w:hint="eastAsia" w:ascii="仿宋_GB2312" w:hAnsi="仿宋_GB2312" w:eastAsia="仿宋_GB2312" w:cs="仿宋_GB2312"/>
          <w:i w:val="0"/>
          <w:iCs w:val="0"/>
          <w:caps w:val="0"/>
          <w:color w:val="auto"/>
          <w:spacing w:val="0"/>
          <w:sz w:val="32"/>
          <w:szCs w:val="32"/>
          <w:highlight w:val="none"/>
          <w:shd w:val="clear" w:fill="FFFFFF"/>
        </w:rPr>
        <w:t>农民个人在自己承包地上自行调整种植结构、改变耕地地类的，应符合农业结构调整政策规定，由村集体经济组织及时核实并梳理汇总情况，向镇人民政府申报，经</w:t>
      </w:r>
      <w:r>
        <w:rPr>
          <w:rFonts w:hint="eastAsia" w:ascii="仿宋_GB2312" w:hAnsi="仿宋_GB2312" w:eastAsia="仿宋_GB2312" w:cs="仿宋_GB2312"/>
          <w:i w:val="0"/>
          <w:iCs w:val="0"/>
          <w:caps w:val="0"/>
          <w:color w:val="auto"/>
          <w:spacing w:val="0"/>
          <w:sz w:val="32"/>
          <w:szCs w:val="32"/>
          <w:highlight w:val="none"/>
          <w:shd w:val="clear" w:fill="FFFFFF"/>
          <w:lang w:eastAsia="zh-CN"/>
        </w:rPr>
        <w:t>区级自然资源部门</w:t>
      </w:r>
      <w:r>
        <w:rPr>
          <w:rFonts w:hint="eastAsia" w:ascii="仿宋_GB2312" w:hAnsi="仿宋_GB2312" w:eastAsia="仿宋_GB2312" w:cs="仿宋_GB2312"/>
          <w:i w:val="0"/>
          <w:iCs w:val="0"/>
          <w:caps w:val="0"/>
          <w:color w:val="auto"/>
          <w:spacing w:val="0"/>
          <w:sz w:val="32"/>
          <w:szCs w:val="32"/>
          <w:highlight w:val="none"/>
          <w:shd w:val="clear" w:fill="FFFFFF"/>
        </w:rPr>
        <w:t>和镇人民政府同意后，由镇人民政府统筹保障，“兜底”落实。</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eastAsia="zh-CN"/>
        </w:rPr>
        <w:t>三</w:t>
      </w:r>
      <w:r>
        <w:rPr>
          <w:rFonts w:hint="eastAsia" w:ascii="楷体" w:hAnsi="楷体" w:eastAsia="楷体" w:cs="楷体"/>
          <w:i w:val="0"/>
          <w:iCs w:val="0"/>
          <w:caps w:val="0"/>
          <w:color w:val="auto"/>
          <w:spacing w:val="0"/>
          <w:sz w:val="32"/>
          <w:szCs w:val="32"/>
          <w:shd w:val="clear" w:fill="FFFFFF"/>
        </w:rPr>
        <w:t>）耕地“进出平衡”职责分工。</w:t>
      </w:r>
      <w:r>
        <w:rPr>
          <w:rFonts w:hint="eastAsia" w:ascii="仿宋_GB2312" w:hAnsi="仿宋_GB2312" w:eastAsia="仿宋_GB2312" w:cs="仿宋_GB2312"/>
          <w:i w:val="0"/>
          <w:iCs w:val="0"/>
          <w:caps w:val="0"/>
          <w:color w:val="auto"/>
          <w:spacing w:val="0"/>
          <w:sz w:val="32"/>
          <w:szCs w:val="32"/>
          <w:shd w:val="clear" w:fill="FFFFFF"/>
        </w:rPr>
        <w:t>耕地“进出平衡”职责分工。</w:t>
      </w:r>
      <w:r>
        <w:rPr>
          <w:rFonts w:hint="eastAsia" w:ascii="仿宋_GB2312" w:hAnsi="仿宋_GB2312" w:eastAsia="仿宋_GB2312" w:cs="仿宋_GB2312"/>
          <w:i w:val="0"/>
          <w:iCs w:val="0"/>
          <w:caps w:val="0"/>
          <w:color w:val="auto"/>
          <w:spacing w:val="0"/>
          <w:sz w:val="32"/>
          <w:szCs w:val="32"/>
          <w:shd w:val="clear" w:fill="FFFFFF"/>
          <w:lang w:eastAsia="zh-CN"/>
        </w:rPr>
        <w:t>区级</w:t>
      </w:r>
      <w:r>
        <w:rPr>
          <w:rFonts w:hint="eastAsia" w:ascii="仿宋_GB2312" w:hAnsi="仿宋_GB2312" w:eastAsia="仿宋_GB2312" w:cs="仿宋_GB2312"/>
          <w:i w:val="0"/>
          <w:iCs w:val="0"/>
          <w:caps w:val="0"/>
          <w:color w:val="auto"/>
          <w:spacing w:val="0"/>
          <w:sz w:val="32"/>
          <w:szCs w:val="32"/>
          <w:shd w:val="clear" w:fill="FFFFFF"/>
        </w:rPr>
        <w:t>自然资源主管部门、农业农村主管部门按照职责分工，依据经批准的方案指导“耕地转出”地块审核实施、“耕地转进”项目的审核实施。</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自然资源</w:t>
      </w:r>
      <w:r>
        <w:rPr>
          <w:rFonts w:hint="eastAsia" w:ascii="仿宋_GB2312" w:hAnsi="仿宋_GB2312" w:eastAsia="仿宋_GB2312" w:cs="仿宋_GB2312"/>
          <w:i w:val="0"/>
          <w:iCs w:val="0"/>
          <w:caps w:val="0"/>
          <w:color w:val="auto"/>
          <w:spacing w:val="0"/>
          <w:sz w:val="32"/>
          <w:szCs w:val="32"/>
          <w:shd w:val="clear" w:fill="FFFFFF"/>
          <w:lang w:eastAsia="zh-CN"/>
        </w:rPr>
        <w:t>部门</w:t>
      </w:r>
      <w:r>
        <w:rPr>
          <w:rFonts w:hint="eastAsia" w:ascii="仿宋_GB2312" w:hAnsi="仿宋_GB2312" w:eastAsia="仿宋_GB2312" w:cs="仿宋_GB2312"/>
          <w:i w:val="0"/>
          <w:iCs w:val="0"/>
          <w:caps w:val="0"/>
          <w:color w:val="auto"/>
          <w:spacing w:val="0"/>
          <w:sz w:val="32"/>
          <w:szCs w:val="32"/>
          <w:shd w:val="clear" w:fill="FFFFFF"/>
        </w:rPr>
        <w:t>负责牵头耕地“进出平衡”总体方案编制、“耕地转进”项目初验；负责“耕地转出”地块涉及造林绿化落地上图等审核、耕地“进出平衡”备案监管系统信息备案、实施监督以及年度国土变更调查、耕地质量等别评定，指导“耕地转进”项目审核和实施工作。</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农业农村主管部门负责“耕地转出”地块、“耕地转进”项目是否符合农业产业发展、种植结构调整方向等审核和指导，</w:t>
      </w:r>
      <w:r>
        <w:rPr>
          <w:rFonts w:hint="eastAsia" w:ascii="仿宋_GB2312" w:hAnsi="仿宋_GB2312" w:eastAsia="仿宋_GB2312" w:cs="仿宋_GB2312"/>
          <w:sz w:val="32"/>
          <w:szCs w:val="32"/>
        </w:rPr>
        <w:t>办理涉及园地等其他农用地及农业设施建设用地整治恢复为耕地的相关手续</w:t>
      </w:r>
      <w:r>
        <w:rPr>
          <w:rFonts w:hint="eastAsia" w:ascii="仿宋_GB2312" w:hAnsi="仿宋_GB2312" w:eastAsia="仿宋_GB2312" w:cs="仿宋_GB2312"/>
          <w:sz w:val="32"/>
          <w:szCs w:val="32"/>
          <w:lang w:eastAsia="zh-CN"/>
        </w:rPr>
        <w:t>并</w:t>
      </w:r>
      <w:r>
        <w:rPr>
          <w:rFonts w:hint="eastAsia" w:ascii="仿宋_GB2312" w:hAnsi="仿宋_GB2312" w:eastAsia="仿宋_GB2312" w:cs="仿宋_GB2312"/>
          <w:sz w:val="32"/>
          <w:szCs w:val="32"/>
        </w:rPr>
        <w:t>参与耕地“进出平衡”项目验收工作</w:t>
      </w:r>
      <w:r>
        <w:rPr>
          <w:rFonts w:hint="eastAsia" w:ascii="仿宋_GB2312" w:hAnsi="仿宋_GB2312" w:eastAsia="仿宋_GB2312" w:cs="仿宋_GB2312"/>
          <w:i w:val="0"/>
          <w:iCs w:val="0"/>
          <w:caps w:val="0"/>
          <w:color w:val="auto"/>
          <w:spacing w:val="0"/>
          <w:sz w:val="32"/>
          <w:szCs w:val="32"/>
          <w:shd w:val="clear" w:fill="FFFFFF"/>
        </w:rPr>
        <w:t>。镇人民政府负责“耕地转出”“耕地转进”范围调查摸底、耕地“进出平衡”方案申报、“耕地转进”项目实施、后期管护等工作。</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七、严厉查处违法违规占用耕地行为</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对各类土地违法行为持续保持严查态势。强化日常执法监管，全面树立“严起来”“零容忍”的工作导向，构建“四早”工作机制，全力遏制新增违法用地，对新发生的违法违规用地“零容忍”，坚持“露头就打”，做到早发现、早制止、早报告、早查处。积极落实自然资源执法监管共同责任，全面实施联合惩处、联合打击、重点执法检查工作模式，坚持刚性执法和精准打击，特别是严肃查处、严厉打击违法占用耕地和永久基本农田的违法行为。确保重大案件查处到位，并及时通报曝光。坚持对违法用地案件一案双查，既查事又查人。对瞒案不报、有报不理、有案不查的，要倒查责任，追责问责。</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黑体" w:hAnsi="黑体" w:eastAsia="黑体" w:cs="黑体"/>
          <w:i w:val="0"/>
          <w:iCs w:val="0"/>
          <w:caps w:val="0"/>
          <w:color w:val="auto"/>
          <w:spacing w:val="0"/>
          <w:sz w:val="32"/>
          <w:szCs w:val="32"/>
        </w:rPr>
      </w:pPr>
      <w:r>
        <w:rPr>
          <w:rFonts w:hint="eastAsia" w:ascii="黑体" w:hAnsi="黑体" w:eastAsia="黑体" w:cs="黑体"/>
          <w:i w:val="0"/>
          <w:iCs w:val="0"/>
          <w:caps w:val="0"/>
          <w:color w:val="auto"/>
          <w:spacing w:val="0"/>
          <w:sz w:val="32"/>
          <w:szCs w:val="32"/>
          <w:shd w:val="clear" w:fill="FFFFFF"/>
        </w:rPr>
        <w:t>八、加强耕地保护工作的组织领导</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rPr>
      </w:pPr>
      <w:r>
        <w:rPr>
          <w:rFonts w:hint="eastAsia" w:ascii="仿宋_GB2312" w:hAnsi="仿宋_GB2312" w:eastAsia="仿宋_GB2312" w:cs="仿宋_GB2312"/>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eastAsia="zh-CN"/>
        </w:rPr>
        <w:t>一</w:t>
      </w:r>
      <w:r>
        <w:rPr>
          <w:rFonts w:hint="eastAsia" w:ascii="楷体" w:hAnsi="楷体" w:eastAsia="楷体" w:cs="楷体"/>
          <w:i w:val="0"/>
          <w:iCs w:val="0"/>
          <w:caps w:val="0"/>
          <w:color w:val="auto"/>
          <w:spacing w:val="0"/>
          <w:sz w:val="32"/>
          <w:szCs w:val="32"/>
          <w:shd w:val="clear" w:fill="FFFFFF"/>
        </w:rPr>
        <w:t>）加强组织领导。</w:t>
      </w:r>
      <w:r>
        <w:rPr>
          <w:rFonts w:hint="eastAsia" w:ascii="仿宋_GB2312" w:hAnsi="仿宋_GB2312" w:eastAsia="仿宋_GB2312" w:cs="仿宋_GB2312"/>
          <w:i w:val="0"/>
          <w:iCs w:val="0"/>
          <w:caps w:val="0"/>
          <w:color w:val="auto"/>
          <w:spacing w:val="0"/>
          <w:sz w:val="32"/>
          <w:szCs w:val="32"/>
          <w:shd w:val="clear" w:fill="FFFFFF"/>
        </w:rPr>
        <w:t>镇政府要清醒认识耕地保护工作的严峻性和复杂性，切实增强保护耕地的责任意识，坚决落实耕地保护政府主要领导第一责任人责任，健全“政府负责、部门协同、公众参与、上下联动”的共同责任机制，对</w:t>
      </w:r>
      <w:r>
        <w:rPr>
          <w:rFonts w:hint="eastAsia" w:ascii="仿宋_GB2312" w:hAnsi="仿宋_GB2312" w:eastAsia="仿宋_GB2312" w:cs="仿宋_GB2312"/>
          <w:i w:val="0"/>
          <w:iCs w:val="0"/>
          <w:caps w:val="0"/>
          <w:color w:val="auto"/>
          <w:spacing w:val="0"/>
          <w:sz w:val="32"/>
          <w:szCs w:val="32"/>
          <w:shd w:val="clear" w:fill="FFFFFF"/>
          <w:lang w:eastAsia="zh-CN"/>
        </w:rPr>
        <w:t>辖</w:t>
      </w:r>
      <w:r>
        <w:rPr>
          <w:rFonts w:hint="eastAsia" w:ascii="仿宋_GB2312" w:hAnsi="仿宋_GB2312" w:eastAsia="仿宋_GB2312" w:cs="仿宋_GB2312"/>
          <w:i w:val="0"/>
          <w:iCs w:val="0"/>
          <w:caps w:val="0"/>
          <w:color w:val="auto"/>
          <w:spacing w:val="0"/>
          <w:sz w:val="32"/>
          <w:szCs w:val="32"/>
          <w:shd w:val="clear" w:fill="FFFFFF"/>
        </w:rPr>
        <w:t>区内耕地保有量、永久基本农田保护面积、耕地占补平衡、耕地“进出平衡”、土地整治及高标准农田建设等耕地保护各项任务负总责，各相关部门按照职责分工履职尽责，落实耕地保护共同责任。</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i w:val="0"/>
          <w:iCs w:val="0"/>
          <w:caps w:val="0"/>
          <w:color w:val="auto"/>
          <w:spacing w:val="0"/>
          <w:sz w:val="32"/>
          <w:szCs w:val="32"/>
          <w:shd w:val="clear" w:fill="FFFFFF"/>
        </w:rPr>
      </w:pPr>
      <w:r>
        <w:rPr>
          <w:rFonts w:hint="eastAsia" w:ascii="楷体" w:hAnsi="楷体" w:eastAsia="楷体" w:cs="楷体"/>
          <w:i w:val="0"/>
          <w:iCs w:val="0"/>
          <w:caps w:val="0"/>
          <w:color w:val="auto"/>
          <w:spacing w:val="0"/>
          <w:sz w:val="32"/>
          <w:szCs w:val="32"/>
          <w:shd w:val="clear" w:fill="FFFFFF"/>
        </w:rPr>
        <w:t>（</w:t>
      </w:r>
      <w:r>
        <w:rPr>
          <w:rFonts w:hint="eastAsia" w:ascii="楷体" w:hAnsi="楷体" w:eastAsia="楷体" w:cs="楷体"/>
          <w:i w:val="0"/>
          <w:iCs w:val="0"/>
          <w:caps w:val="0"/>
          <w:color w:val="auto"/>
          <w:spacing w:val="0"/>
          <w:sz w:val="32"/>
          <w:szCs w:val="32"/>
          <w:shd w:val="clear" w:fill="FFFFFF"/>
          <w:lang w:eastAsia="zh-CN"/>
        </w:rPr>
        <w:t>二</w:t>
      </w:r>
      <w:r>
        <w:rPr>
          <w:rFonts w:hint="eastAsia" w:ascii="楷体" w:hAnsi="楷体" w:eastAsia="楷体" w:cs="楷体"/>
          <w:i w:val="0"/>
          <w:iCs w:val="0"/>
          <w:caps w:val="0"/>
          <w:color w:val="auto"/>
          <w:spacing w:val="0"/>
          <w:sz w:val="32"/>
          <w:szCs w:val="32"/>
          <w:shd w:val="clear" w:fill="FFFFFF"/>
        </w:rPr>
        <w:t>）严格监督检查。</w:t>
      </w:r>
      <w:r>
        <w:rPr>
          <w:rFonts w:hint="eastAsia" w:ascii="仿宋_GB2312" w:hAnsi="仿宋_GB2312" w:eastAsia="仿宋_GB2312" w:cs="仿宋_GB2312"/>
          <w:i w:val="0"/>
          <w:iCs w:val="0"/>
          <w:caps w:val="0"/>
          <w:color w:val="auto"/>
          <w:spacing w:val="0"/>
          <w:sz w:val="32"/>
          <w:szCs w:val="32"/>
          <w:shd w:val="clear" w:fill="FFFFFF"/>
        </w:rPr>
        <w:t>充分利用耕地卫片监督、卫片执法、遥感影像监测、</w:t>
      </w:r>
      <w:r>
        <w:rPr>
          <w:rFonts w:hint="eastAsia" w:ascii="仿宋_GB2312" w:hAnsi="仿宋_GB2312" w:eastAsia="仿宋_GB2312" w:cs="仿宋_GB2312"/>
          <w:i w:val="0"/>
          <w:iCs w:val="0"/>
          <w:caps w:val="0"/>
          <w:color w:val="auto"/>
          <w:spacing w:val="0"/>
          <w:sz w:val="32"/>
          <w:szCs w:val="32"/>
          <w:shd w:val="clear" w:fill="FFFFFF"/>
          <w:lang w:eastAsia="zh-CN"/>
        </w:rPr>
        <w:t>天眼系统</w:t>
      </w:r>
      <w:r>
        <w:rPr>
          <w:rFonts w:hint="eastAsia" w:ascii="仿宋_GB2312" w:hAnsi="仿宋_GB2312" w:eastAsia="仿宋_GB2312" w:cs="仿宋_GB2312"/>
          <w:i w:val="0"/>
          <w:iCs w:val="0"/>
          <w:caps w:val="0"/>
          <w:color w:val="auto"/>
          <w:spacing w:val="0"/>
          <w:sz w:val="32"/>
          <w:szCs w:val="32"/>
          <w:shd w:val="clear" w:fill="FFFFFF"/>
        </w:rPr>
        <w:t>等方式定期开展耕地动态监测，及时发现和处理问题。健全土地执法联动协作机制，进一步加强执法监管共同责任机制，严肃处置违法违规占用耕地问题。</w:t>
      </w:r>
      <w:r>
        <w:rPr>
          <w:rFonts w:hint="eastAsia" w:ascii="仿宋_GB2312" w:hAnsi="仿宋_GB2312" w:eastAsia="仿宋_GB2312" w:cs="仿宋_GB2312"/>
          <w:i w:val="0"/>
          <w:iCs w:val="0"/>
          <w:caps w:val="0"/>
          <w:color w:val="auto"/>
          <w:spacing w:val="0"/>
          <w:sz w:val="32"/>
          <w:szCs w:val="32"/>
          <w:shd w:val="clear" w:fill="FFFFFF"/>
          <w:lang w:eastAsia="zh-CN"/>
        </w:rPr>
        <w:t>区</w:t>
      </w:r>
      <w:r>
        <w:rPr>
          <w:rFonts w:hint="eastAsia" w:ascii="仿宋_GB2312" w:hAnsi="仿宋_GB2312" w:eastAsia="仿宋_GB2312" w:cs="仿宋_GB2312"/>
          <w:i w:val="0"/>
          <w:iCs w:val="0"/>
          <w:caps w:val="0"/>
          <w:color w:val="auto"/>
          <w:spacing w:val="0"/>
          <w:sz w:val="32"/>
          <w:szCs w:val="32"/>
          <w:shd w:val="clear" w:fill="FFFFFF"/>
        </w:rPr>
        <w:t>自然资源部门、农业农村部门按照职责分工，加强监督检查，对于违法违规占用耕地特别是永久基本农田行为，依法依规严肃查处，涉嫌违法犯罪的，及时移送司法机关追究刑事责任。开展耕地动态监测，强化对耕地“占补平衡”、“进出平衡”的全流程监督。</w:t>
      </w:r>
    </w:p>
    <w:p>
      <w:pPr>
        <w:spacing w:line="360" w:lineRule="auto"/>
      </w:pPr>
    </w:p>
    <w:sectPr>
      <w:headerReference r:id="rId3" w:type="default"/>
      <w:footerReference r:id="rId4" w:type="default"/>
      <w:footerReference r:id="rId5" w:type="even"/>
      <w:pgSz w:w="11906" w:h="16838"/>
      <w:pgMar w:top="1985" w:right="1531" w:bottom="1928" w:left="1531" w:header="1418"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Tc1ZWZlN2FhMzE1OTgzNjA5MWQyYjcwODVlYWIifQ=="/>
  </w:docVars>
  <w:rsids>
    <w:rsidRoot w:val="4E8C0576"/>
    <w:rsid w:val="00030D45"/>
    <w:rsid w:val="000A4112"/>
    <w:rsid w:val="000B22AE"/>
    <w:rsid w:val="000C400D"/>
    <w:rsid w:val="000F099D"/>
    <w:rsid w:val="000F5B3B"/>
    <w:rsid w:val="00105DD0"/>
    <w:rsid w:val="0014444A"/>
    <w:rsid w:val="00156B4E"/>
    <w:rsid w:val="00172A27"/>
    <w:rsid w:val="00173D28"/>
    <w:rsid w:val="00174F51"/>
    <w:rsid w:val="001D27AB"/>
    <w:rsid w:val="001E5C14"/>
    <w:rsid w:val="001F3CCD"/>
    <w:rsid w:val="00200C70"/>
    <w:rsid w:val="00220C93"/>
    <w:rsid w:val="00236308"/>
    <w:rsid w:val="002446F1"/>
    <w:rsid w:val="002626C4"/>
    <w:rsid w:val="0029570F"/>
    <w:rsid w:val="00296F25"/>
    <w:rsid w:val="002B51B0"/>
    <w:rsid w:val="002C20BB"/>
    <w:rsid w:val="002D15AE"/>
    <w:rsid w:val="002D3118"/>
    <w:rsid w:val="003226A5"/>
    <w:rsid w:val="00325F2B"/>
    <w:rsid w:val="0033456F"/>
    <w:rsid w:val="00351BDA"/>
    <w:rsid w:val="00366D2A"/>
    <w:rsid w:val="00387DC4"/>
    <w:rsid w:val="003A1C6E"/>
    <w:rsid w:val="003A553E"/>
    <w:rsid w:val="003B034A"/>
    <w:rsid w:val="003F4B24"/>
    <w:rsid w:val="004007A7"/>
    <w:rsid w:val="00415051"/>
    <w:rsid w:val="0041752D"/>
    <w:rsid w:val="004231F0"/>
    <w:rsid w:val="004263D9"/>
    <w:rsid w:val="00431277"/>
    <w:rsid w:val="00447ABE"/>
    <w:rsid w:val="0046220E"/>
    <w:rsid w:val="004A4FDF"/>
    <w:rsid w:val="0050059B"/>
    <w:rsid w:val="00502BB1"/>
    <w:rsid w:val="0051287F"/>
    <w:rsid w:val="005130F4"/>
    <w:rsid w:val="00530270"/>
    <w:rsid w:val="0055516C"/>
    <w:rsid w:val="00555AE9"/>
    <w:rsid w:val="005672A6"/>
    <w:rsid w:val="00577DE0"/>
    <w:rsid w:val="005934AE"/>
    <w:rsid w:val="00593F2E"/>
    <w:rsid w:val="005A137F"/>
    <w:rsid w:val="005B12F1"/>
    <w:rsid w:val="005E2C2D"/>
    <w:rsid w:val="005E5415"/>
    <w:rsid w:val="0060418D"/>
    <w:rsid w:val="006202DB"/>
    <w:rsid w:val="006217FD"/>
    <w:rsid w:val="00623E27"/>
    <w:rsid w:val="0062448A"/>
    <w:rsid w:val="0064386A"/>
    <w:rsid w:val="00645F53"/>
    <w:rsid w:val="00651631"/>
    <w:rsid w:val="006765DF"/>
    <w:rsid w:val="00681F4C"/>
    <w:rsid w:val="00682F50"/>
    <w:rsid w:val="006A0B20"/>
    <w:rsid w:val="006C274E"/>
    <w:rsid w:val="00710E54"/>
    <w:rsid w:val="007238E1"/>
    <w:rsid w:val="007246F9"/>
    <w:rsid w:val="0075071D"/>
    <w:rsid w:val="007529FC"/>
    <w:rsid w:val="007732A6"/>
    <w:rsid w:val="007745B9"/>
    <w:rsid w:val="007D073C"/>
    <w:rsid w:val="007D467B"/>
    <w:rsid w:val="007E0E9D"/>
    <w:rsid w:val="007E54C0"/>
    <w:rsid w:val="007E557B"/>
    <w:rsid w:val="00806BB1"/>
    <w:rsid w:val="00814890"/>
    <w:rsid w:val="00817F3A"/>
    <w:rsid w:val="00824C07"/>
    <w:rsid w:val="008333B5"/>
    <w:rsid w:val="00840D99"/>
    <w:rsid w:val="00841F69"/>
    <w:rsid w:val="00867CAC"/>
    <w:rsid w:val="00873EDF"/>
    <w:rsid w:val="0087622C"/>
    <w:rsid w:val="0089015C"/>
    <w:rsid w:val="008B4695"/>
    <w:rsid w:val="008E597B"/>
    <w:rsid w:val="008F634A"/>
    <w:rsid w:val="00915911"/>
    <w:rsid w:val="0093341C"/>
    <w:rsid w:val="00970BD5"/>
    <w:rsid w:val="00972822"/>
    <w:rsid w:val="00981132"/>
    <w:rsid w:val="00987E8E"/>
    <w:rsid w:val="009D57D7"/>
    <w:rsid w:val="00A24C4B"/>
    <w:rsid w:val="00A35AD5"/>
    <w:rsid w:val="00A36F3C"/>
    <w:rsid w:val="00A455BF"/>
    <w:rsid w:val="00A5192D"/>
    <w:rsid w:val="00A55AA5"/>
    <w:rsid w:val="00A67F5D"/>
    <w:rsid w:val="00A706DA"/>
    <w:rsid w:val="00A70C7F"/>
    <w:rsid w:val="00A76873"/>
    <w:rsid w:val="00AE0702"/>
    <w:rsid w:val="00AE2E8B"/>
    <w:rsid w:val="00B107FE"/>
    <w:rsid w:val="00B16120"/>
    <w:rsid w:val="00B2015B"/>
    <w:rsid w:val="00B57D7B"/>
    <w:rsid w:val="00BA6F0A"/>
    <w:rsid w:val="00BB0C05"/>
    <w:rsid w:val="00BB153C"/>
    <w:rsid w:val="00BC2AD0"/>
    <w:rsid w:val="00BC5E86"/>
    <w:rsid w:val="00BE5174"/>
    <w:rsid w:val="00C1270D"/>
    <w:rsid w:val="00C5663A"/>
    <w:rsid w:val="00C57730"/>
    <w:rsid w:val="00C75B15"/>
    <w:rsid w:val="00C85ECD"/>
    <w:rsid w:val="00CA2C63"/>
    <w:rsid w:val="00CA4D6C"/>
    <w:rsid w:val="00CC213F"/>
    <w:rsid w:val="00CE01EB"/>
    <w:rsid w:val="00CE2EFF"/>
    <w:rsid w:val="00CF1225"/>
    <w:rsid w:val="00CF57AD"/>
    <w:rsid w:val="00D01A20"/>
    <w:rsid w:val="00D13262"/>
    <w:rsid w:val="00D2381D"/>
    <w:rsid w:val="00D56995"/>
    <w:rsid w:val="00D72781"/>
    <w:rsid w:val="00D84A3A"/>
    <w:rsid w:val="00D87EE7"/>
    <w:rsid w:val="00D90381"/>
    <w:rsid w:val="00DD114C"/>
    <w:rsid w:val="00DD6D2F"/>
    <w:rsid w:val="00DD7D1A"/>
    <w:rsid w:val="00DF50E8"/>
    <w:rsid w:val="00E04DFB"/>
    <w:rsid w:val="00E14BB0"/>
    <w:rsid w:val="00E17FC8"/>
    <w:rsid w:val="00E316A1"/>
    <w:rsid w:val="00E564AF"/>
    <w:rsid w:val="00E7625C"/>
    <w:rsid w:val="00E863DC"/>
    <w:rsid w:val="00EB249E"/>
    <w:rsid w:val="00EC2EF1"/>
    <w:rsid w:val="00EC35E1"/>
    <w:rsid w:val="00EC745C"/>
    <w:rsid w:val="00ED0DD3"/>
    <w:rsid w:val="00F011A9"/>
    <w:rsid w:val="00F11093"/>
    <w:rsid w:val="00F37166"/>
    <w:rsid w:val="00F47D22"/>
    <w:rsid w:val="00F64F15"/>
    <w:rsid w:val="00F91354"/>
    <w:rsid w:val="00F94177"/>
    <w:rsid w:val="00FC2D5E"/>
    <w:rsid w:val="00FD1BB2"/>
    <w:rsid w:val="00FD4D8F"/>
    <w:rsid w:val="00FD4E54"/>
    <w:rsid w:val="00FF133D"/>
    <w:rsid w:val="017301CF"/>
    <w:rsid w:val="04497F54"/>
    <w:rsid w:val="04A80DB8"/>
    <w:rsid w:val="06633358"/>
    <w:rsid w:val="09BA18BF"/>
    <w:rsid w:val="0AA97092"/>
    <w:rsid w:val="0D5D798D"/>
    <w:rsid w:val="0E0E6CED"/>
    <w:rsid w:val="0F241169"/>
    <w:rsid w:val="10A74546"/>
    <w:rsid w:val="10D06F5B"/>
    <w:rsid w:val="120D7051"/>
    <w:rsid w:val="133538BA"/>
    <w:rsid w:val="137333F8"/>
    <w:rsid w:val="13EB5078"/>
    <w:rsid w:val="14045CEB"/>
    <w:rsid w:val="143B659B"/>
    <w:rsid w:val="14576EEE"/>
    <w:rsid w:val="14DD31FD"/>
    <w:rsid w:val="151B4E65"/>
    <w:rsid w:val="15431B51"/>
    <w:rsid w:val="15DE0084"/>
    <w:rsid w:val="16034699"/>
    <w:rsid w:val="167A158B"/>
    <w:rsid w:val="172F6697"/>
    <w:rsid w:val="1792055F"/>
    <w:rsid w:val="179C433E"/>
    <w:rsid w:val="17C36EA9"/>
    <w:rsid w:val="17D15EA0"/>
    <w:rsid w:val="191B0430"/>
    <w:rsid w:val="19395DCC"/>
    <w:rsid w:val="195235B6"/>
    <w:rsid w:val="19E02EA0"/>
    <w:rsid w:val="1A9E50B0"/>
    <w:rsid w:val="1B0A7C6C"/>
    <w:rsid w:val="1B35649B"/>
    <w:rsid w:val="1BDF60FA"/>
    <w:rsid w:val="1BE32FB4"/>
    <w:rsid w:val="1C446738"/>
    <w:rsid w:val="1DE251B4"/>
    <w:rsid w:val="1E0D60EA"/>
    <w:rsid w:val="1E5B7017"/>
    <w:rsid w:val="20776154"/>
    <w:rsid w:val="20B44934"/>
    <w:rsid w:val="20D81670"/>
    <w:rsid w:val="210B7789"/>
    <w:rsid w:val="21447665"/>
    <w:rsid w:val="21EC6C10"/>
    <w:rsid w:val="21ED7991"/>
    <w:rsid w:val="230A30AA"/>
    <w:rsid w:val="242F1357"/>
    <w:rsid w:val="243555F9"/>
    <w:rsid w:val="246D2F5B"/>
    <w:rsid w:val="24B60BBB"/>
    <w:rsid w:val="254215B0"/>
    <w:rsid w:val="25AC056B"/>
    <w:rsid w:val="26723EA0"/>
    <w:rsid w:val="288F4217"/>
    <w:rsid w:val="28A95605"/>
    <w:rsid w:val="28D345D1"/>
    <w:rsid w:val="290C5EF9"/>
    <w:rsid w:val="292A6692"/>
    <w:rsid w:val="29D62F61"/>
    <w:rsid w:val="2A096675"/>
    <w:rsid w:val="2A984938"/>
    <w:rsid w:val="2B9F5D46"/>
    <w:rsid w:val="2C47320C"/>
    <w:rsid w:val="2D3D715C"/>
    <w:rsid w:val="2D5305C3"/>
    <w:rsid w:val="2D5A7676"/>
    <w:rsid w:val="2DDE5E82"/>
    <w:rsid w:val="2DEFAF7D"/>
    <w:rsid w:val="2EF64A8B"/>
    <w:rsid w:val="2F642F4F"/>
    <w:rsid w:val="30FD700A"/>
    <w:rsid w:val="31FA6113"/>
    <w:rsid w:val="324A656F"/>
    <w:rsid w:val="33BF0E23"/>
    <w:rsid w:val="341E72F5"/>
    <w:rsid w:val="36550817"/>
    <w:rsid w:val="38145D11"/>
    <w:rsid w:val="388C0E52"/>
    <w:rsid w:val="39615FEC"/>
    <w:rsid w:val="39DF1114"/>
    <w:rsid w:val="3B923A5B"/>
    <w:rsid w:val="3BCA78E6"/>
    <w:rsid w:val="3BF23C21"/>
    <w:rsid w:val="3CA96714"/>
    <w:rsid w:val="3D4B4623"/>
    <w:rsid w:val="3D6F0031"/>
    <w:rsid w:val="3D7E02FF"/>
    <w:rsid w:val="3DDF76A6"/>
    <w:rsid w:val="3E4619B8"/>
    <w:rsid w:val="3ED78FEC"/>
    <w:rsid w:val="3F2F2A23"/>
    <w:rsid w:val="3FAA02DC"/>
    <w:rsid w:val="40D514AA"/>
    <w:rsid w:val="41031E9A"/>
    <w:rsid w:val="42BD6E01"/>
    <w:rsid w:val="44752D98"/>
    <w:rsid w:val="455B290C"/>
    <w:rsid w:val="456B0178"/>
    <w:rsid w:val="464D3F7E"/>
    <w:rsid w:val="46705291"/>
    <w:rsid w:val="46D66444"/>
    <w:rsid w:val="4709251C"/>
    <w:rsid w:val="47935B7C"/>
    <w:rsid w:val="47F31C96"/>
    <w:rsid w:val="484E23F3"/>
    <w:rsid w:val="48F5643E"/>
    <w:rsid w:val="492C01F8"/>
    <w:rsid w:val="49F20BFB"/>
    <w:rsid w:val="4A0C5871"/>
    <w:rsid w:val="4A464069"/>
    <w:rsid w:val="4AEF00BE"/>
    <w:rsid w:val="4B974AEF"/>
    <w:rsid w:val="4C764B79"/>
    <w:rsid w:val="4C8F3727"/>
    <w:rsid w:val="4E197A17"/>
    <w:rsid w:val="4E5A4572"/>
    <w:rsid w:val="4E634927"/>
    <w:rsid w:val="4E8C0576"/>
    <w:rsid w:val="4FF733E1"/>
    <w:rsid w:val="4FFEF5C8"/>
    <w:rsid w:val="501B6ABA"/>
    <w:rsid w:val="52121BB5"/>
    <w:rsid w:val="52545EA1"/>
    <w:rsid w:val="52ED409E"/>
    <w:rsid w:val="53515519"/>
    <w:rsid w:val="539B3139"/>
    <w:rsid w:val="570322C8"/>
    <w:rsid w:val="574D7933"/>
    <w:rsid w:val="57CA34ED"/>
    <w:rsid w:val="57FE6A16"/>
    <w:rsid w:val="582F7FF7"/>
    <w:rsid w:val="586E1F24"/>
    <w:rsid w:val="58765EA4"/>
    <w:rsid w:val="58967865"/>
    <w:rsid w:val="5A4031EE"/>
    <w:rsid w:val="5A513488"/>
    <w:rsid w:val="5BD347B4"/>
    <w:rsid w:val="5BE84759"/>
    <w:rsid w:val="5CC31611"/>
    <w:rsid w:val="5DB84F00"/>
    <w:rsid w:val="5F0A1E57"/>
    <w:rsid w:val="5FB73CCF"/>
    <w:rsid w:val="5FEF31BE"/>
    <w:rsid w:val="61926589"/>
    <w:rsid w:val="628132A8"/>
    <w:rsid w:val="629009CC"/>
    <w:rsid w:val="62CE27BD"/>
    <w:rsid w:val="641B2580"/>
    <w:rsid w:val="65FF44E4"/>
    <w:rsid w:val="66204D73"/>
    <w:rsid w:val="68035254"/>
    <w:rsid w:val="693168CA"/>
    <w:rsid w:val="6A724D32"/>
    <w:rsid w:val="6B165840"/>
    <w:rsid w:val="6B3042F4"/>
    <w:rsid w:val="6B495C83"/>
    <w:rsid w:val="6B4D3E3C"/>
    <w:rsid w:val="6B7571EA"/>
    <w:rsid w:val="6D9735C3"/>
    <w:rsid w:val="6E622751"/>
    <w:rsid w:val="6EDDDC2B"/>
    <w:rsid w:val="6F6822D7"/>
    <w:rsid w:val="6F8A42BE"/>
    <w:rsid w:val="6FB6CBDC"/>
    <w:rsid w:val="718722D2"/>
    <w:rsid w:val="730E0389"/>
    <w:rsid w:val="73CB01C5"/>
    <w:rsid w:val="7505577B"/>
    <w:rsid w:val="75C90437"/>
    <w:rsid w:val="75F50D61"/>
    <w:rsid w:val="764F1059"/>
    <w:rsid w:val="765C4BBA"/>
    <w:rsid w:val="767A3BC7"/>
    <w:rsid w:val="771F5BA8"/>
    <w:rsid w:val="77BCA725"/>
    <w:rsid w:val="77C61FA1"/>
    <w:rsid w:val="7A1B1D4C"/>
    <w:rsid w:val="7C4D75A1"/>
    <w:rsid w:val="7C630EA1"/>
    <w:rsid w:val="7CCE7742"/>
    <w:rsid w:val="7DB7C3B1"/>
    <w:rsid w:val="7DF91815"/>
    <w:rsid w:val="7E21479D"/>
    <w:rsid w:val="7EBF4C92"/>
    <w:rsid w:val="7EDEBCE7"/>
    <w:rsid w:val="7F357791"/>
    <w:rsid w:val="7F3BEA00"/>
    <w:rsid w:val="7FED67AB"/>
    <w:rsid w:val="9C3FB597"/>
    <w:rsid w:val="D7CF6F32"/>
    <w:rsid w:val="DD27AD11"/>
    <w:rsid w:val="DDFDA304"/>
    <w:rsid w:val="F7F70790"/>
    <w:rsid w:val="FBCF5106"/>
    <w:rsid w:val="FD5F754F"/>
    <w:rsid w:val="FDFF776C"/>
    <w:rsid w:val="FFDB6759"/>
    <w:rsid w:val="FFFF47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rPr>
      <w:rFonts w:ascii="Times New Roman" w:hAnsi="Times New Roman" w:cs="Times New Roman"/>
      <w:sz w:val="24"/>
      <w:lang w:bidi="ar-SA"/>
    </w:rPr>
  </w:style>
  <w:style w:type="paragraph" w:styleId="5">
    <w:name w:val="Body Text Indent"/>
    <w:basedOn w:val="1"/>
    <w:qFormat/>
    <w:uiPriority w:val="0"/>
    <w:pPr>
      <w:spacing w:after="120"/>
      <w:ind w:left="420" w:leftChars="200"/>
    </w:pPr>
  </w:style>
  <w:style w:type="paragraph" w:styleId="6">
    <w:name w:val="Date"/>
    <w:basedOn w:val="1"/>
    <w:next w:val="1"/>
    <w:link w:val="18"/>
    <w:unhideWhenUsed/>
    <w:qFormat/>
    <w:uiPriority w:val="99"/>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spacing w:before="100" w:beforeAutospacing="1" w:after="100" w:afterAutospacing="1"/>
    </w:pPr>
    <w:rPr>
      <w:rFonts w:ascii="宋体" w:hAnsi="宋体" w:eastAsia="宋体" w:cs="宋体"/>
      <w:sz w:val="24"/>
      <w:lang w:val="en-US" w:eastAsia="zh-CN" w:bidi="ar-SA"/>
    </w:rPr>
  </w:style>
  <w:style w:type="paragraph" w:styleId="10">
    <w:name w:val="Body Text First Indent"/>
    <w:basedOn w:val="2"/>
    <w:next w:val="11"/>
    <w:qFormat/>
    <w:uiPriority w:val="0"/>
    <w:pPr>
      <w:spacing w:line="600" w:lineRule="exact"/>
    </w:pPr>
    <w:rPr>
      <w:rFonts w:ascii="Calibri" w:hAnsi="Calibri" w:eastAsia="宋体"/>
      <w:szCs w:val="28"/>
    </w:rPr>
  </w:style>
  <w:style w:type="paragraph" w:styleId="11">
    <w:name w:val="Body Text First Indent 2"/>
    <w:basedOn w:val="5"/>
    <w:qFormat/>
    <w:uiPriority w:val="0"/>
    <w:pPr>
      <w:spacing w:line="360" w:lineRule="auto"/>
      <w:ind w:firstLine="420"/>
    </w:pPr>
    <w:rPr>
      <w:szCs w:val="24"/>
    </w:rPr>
  </w:style>
  <w:style w:type="character" w:styleId="14">
    <w:name w:val="page number"/>
    <w:basedOn w:val="13"/>
    <w:unhideWhenUsed/>
    <w:qFormat/>
    <w:uiPriority w:val="99"/>
  </w:style>
  <w:style w:type="paragraph" w:styleId="15">
    <w:name w:val="List Paragraph"/>
    <w:basedOn w:val="1"/>
    <w:qFormat/>
    <w:uiPriority w:val="34"/>
    <w:pPr>
      <w:ind w:firstLine="420" w:firstLineChars="200"/>
    </w:pPr>
    <w:rPr>
      <w:rFonts w:ascii="Calibri" w:hAnsi="Calibri"/>
      <w:szCs w:val="22"/>
    </w:rPr>
  </w:style>
  <w:style w:type="character" w:customStyle="1" w:styleId="16">
    <w:name w:val="NormalCharacter"/>
    <w:semiHidden/>
    <w:qFormat/>
    <w:uiPriority w:val="0"/>
    <w:rPr>
      <w:rFonts w:ascii="Calibri" w:hAnsi="Calibri" w:eastAsia="宋体" w:cs="Times New Roman"/>
      <w:kern w:val="2"/>
      <w:sz w:val="21"/>
      <w:szCs w:val="24"/>
      <w:lang w:val="en-US" w:eastAsia="zh-CN" w:bidi="ar-SA"/>
    </w:rPr>
  </w:style>
  <w:style w:type="character" w:customStyle="1" w:styleId="17">
    <w:name w:val="editortmp"/>
    <w:basedOn w:val="13"/>
    <w:qFormat/>
    <w:uiPriority w:val="0"/>
  </w:style>
  <w:style w:type="character" w:customStyle="1" w:styleId="18">
    <w:name w:val="日期 Char"/>
    <w:basedOn w:val="13"/>
    <w:link w:val="6"/>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administrator\Xujia\g\2019&#24180;&#25991;&#20214;\&#21457;&#25991;&#27169;&#26495;\&#21306;&#25919;&#24220;&#35831;&#31034;&#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区政府请示模板.dot</Template>
  <Pages>8</Pages>
  <Words>3694</Words>
  <Characters>3697</Characters>
  <Lines>5</Lines>
  <Paragraphs>1</Paragraphs>
  <TotalTime>0</TotalTime>
  <ScaleCrop>false</ScaleCrop>
  <LinksUpToDate>false</LinksUpToDate>
  <CharactersWithSpaces>3697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2019-10-12T18:44:00Z</dcterms:created>
  <dc:creator>勉</dc:creator>
  <cp:lastModifiedBy>刘小水</cp:lastModifiedBy>
  <cp:lastPrinted>2022-04-24T17:02:00Z</cp:lastPrinted>
  <dcterms:modified xsi:type="dcterms:W3CDTF">2023-06-01T03:54:38Z</dcterms:modified>
  <dc:title>红旗区人民政府</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97B44AF64E75402CA1D426617213F57F_12</vt:lpwstr>
  </property>
</Properties>
</file>