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Times New Roman" w:cs="Times New Roman"/>
        </w:rPr>
      </w:pPr>
      <w:bookmarkStart w:id="0" w:name="_GoBack"/>
      <w:bookmarkEnd w:id="0"/>
      <w:r>
        <w:rPr>
          <w:rFonts w:ascii="Times New Roman" w:hAnsi="黑体" w:eastAsia="黑体" w:cs="Times New Roman"/>
        </w:rPr>
        <w:t>附件</w:t>
      </w:r>
      <w:r>
        <w:rPr>
          <w:rFonts w:ascii="Times New Roman" w:eastAsia="黑体" w:cs="Times New Roman"/>
        </w:rPr>
        <w:t>1-1</w:t>
      </w:r>
    </w:p>
    <w:p>
      <w:pPr>
        <w:spacing w:line="560" w:lineRule="exact"/>
        <w:jc w:val="center"/>
        <w:rPr>
          <w:rFonts w:ascii="Times New Roman" w:eastAsia="方正小标宋简体" w:cs="Times New Roman"/>
          <w:sz w:val="44"/>
          <w:szCs w:val="44"/>
        </w:rPr>
      </w:pPr>
      <w:r>
        <w:rPr>
          <w:rFonts w:ascii="Times New Roman" w:eastAsia="方正小标宋简体" w:cs="Times New Roman"/>
          <w:sz w:val="44"/>
          <w:szCs w:val="44"/>
        </w:rPr>
        <w:t>新乡市</w:t>
      </w:r>
      <w:r>
        <w:rPr>
          <w:rFonts w:hint="eastAsia" w:ascii="Times New Roman" w:eastAsia="方正小标宋简体" w:cs="Times New Roman"/>
          <w:sz w:val="44"/>
          <w:szCs w:val="44"/>
          <w:lang w:eastAsia="zh-CN"/>
        </w:rPr>
        <w:t>红旗区</w:t>
      </w:r>
      <w:r>
        <w:rPr>
          <w:rFonts w:ascii="Times New Roman" w:eastAsia="方正小标宋简体" w:cs="Times New Roman"/>
          <w:sz w:val="44"/>
          <w:szCs w:val="44"/>
        </w:rPr>
        <w:t>消防安全重点单位申报表</w:t>
      </w:r>
    </w:p>
    <w:tbl>
      <w:tblPr>
        <w:tblStyle w:val="3"/>
        <w:tblW w:w="91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36"/>
        <w:gridCol w:w="931"/>
        <w:gridCol w:w="456"/>
        <w:gridCol w:w="1282"/>
        <w:gridCol w:w="2110"/>
        <w:gridCol w:w="928"/>
        <w:gridCol w:w="454"/>
        <w:gridCol w:w="1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1836" w:type="dxa"/>
            <w:vAlign w:val="center"/>
          </w:tcPr>
          <w:p>
            <w:pPr>
              <w:spacing w:line="360" w:lineRule="exact"/>
              <w:contextualSpacing/>
              <w:jc w:val="center"/>
              <w:rPr>
                <w:rFonts w:ascii="Times New Roman" w:eastAsia="宋体" w:cs="Times New Roman"/>
                <w:sz w:val="24"/>
                <w:szCs w:val="24"/>
              </w:rPr>
            </w:pPr>
            <w:r>
              <w:rPr>
                <w:rFonts w:ascii="Times New Roman" w:cs="Times New Roman"/>
                <w:sz w:val="24"/>
                <w:szCs w:val="24"/>
              </w:rPr>
              <w:t>单位</w:t>
            </w:r>
          </w:p>
          <w:p>
            <w:pPr>
              <w:spacing w:line="360" w:lineRule="exact"/>
              <w:contextualSpacing/>
              <w:jc w:val="center"/>
              <w:rPr>
                <w:rFonts w:ascii="Times New Roman" w:eastAsia="宋体" w:cs="Times New Roman"/>
                <w:sz w:val="24"/>
                <w:szCs w:val="24"/>
              </w:rPr>
            </w:pPr>
            <w:r>
              <w:rPr>
                <w:rFonts w:ascii="Times New Roman" w:cs="Times New Roman"/>
                <w:sz w:val="24"/>
                <w:szCs w:val="24"/>
              </w:rPr>
              <w:t>名称</w:t>
            </w:r>
          </w:p>
        </w:tc>
        <w:tc>
          <w:tcPr>
            <w:tcW w:w="4779" w:type="dxa"/>
            <w:gridSpan w:val="4"/>
            <w:vAlign w:val="center"/>
          </w:tcPr>
          <w:p>
            <w:pPr>
              <w:spacing w:line="360" w:lineRule="exact"/>
              <w:contextualSpacing/>
              <w:rPr>
                <w:rFonts w:ascii="Times New Roman" w:eastAsia="宋体" w:cs="Times New Roman"/>
                <w:sz w:val="24"/>
                <w:szCs w:val="24"/>
              </w:rPr>
            </w:pPr>
          </w:p>
        </w:tc>
        <w:tc>
          <w:tcPr>
            <w:tcW w:w="928" w:type="dxa"/>
            <w:vAlign w:val="center"/>
          </w:tcPr>
          <w:p>
            <w:pPr>
              <w:spacing w:line="360" w:lineRule="exact"/>
              <w:contextualSpacing/>
              <w:jc w:val="center"/>
              <w:rPr>
                <w:rFonts w:ascii="Times New Roman" w:eastAsia="宋体" w:cs="Times New Roman"/>
                <w:sz w:val="24"/>
                <w:szCs w:val="24"/>
              </w:rPr>
            </w:pPr>
            <w:r>
              <w:rPr>
                <w:rFonts w:ascii="Times New Roman" w:cs="Times New Roman"/>
                <w:sz w:val="24"/>
                <w:szCs w:val="24"/>
              </w:rPr>
              <w:t>单位</w:t>
            </w:r>
          </w:p>
          <w:p>
            <w:pPr>
              <w:spacing w:line="360" w:lineRule="exact"/>
              <w:contextualSpacing/>
              <w:jc w:val="center"/>
              <w:rPr>
                <w:rFonts w:ascii="Times New Roman" w:eastAsia="宋体" w:cs="Times New Roman"/>
                <w:sz w:val="24"/>
                <w:szCs w:val="24"/>
              </w:rPr>
            </w:pPr>
            <w:r>
              <w:rPr>
                <w:rFonts w:ascii="Times New Roman" w:cs="Times New Roman"/>
                <w:sz w:val="24"/>
                <w:szCs w:val="24"/>
              </w:rPr>
              <w:t>性质</w:t>
            </w:r>
          </w:p>
        </w:tc>
        <w:tc>
          <w:tcPr>
            <w:tcW w:w="1619" w:type="dxa"/>
            <w:gridSpan w:val="2"/>
            <w:vAlign w:val="center"/>
          </w:tcPr>
          <w:p>
            <w:pPr>
              <w:spacing w:line="360" w:lineRule="exact"/>
              <w:contextualSpacing/>
              <w:rPr>
                <w:rFonts w:asci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1836" w:type="dxa"/>
            <w:vAlign w:val="center"/>
          </w:tcPr>
          <w:p>
            <w:pPr>
              <w:spacing w:line="360" w:lineRule="exact"/>
              <w:contextualSpacing/>
              <w:jc w:val="center"/>
              <w:rPr>
                <w:rFonts w:ascii="Times New Roman" w:eastAsia="宋体" w:cs="Times New Roman"/>
                <w:sz w:val="24"/>
                <w:szCs w:val="24"/>
              </w:rPr>
            </w:pPr>
            <w:r>
              <w:rPr>
                <w:rFonts w:ascii="Times New Roman" w:cs="Times New Roman"/>
                <w:sz w:val="24"/>
                <w:szCs w:val="24"/>
              </w:rPr>
              <w:t>单位</w:t>
            </w:r>
          </w:p>
          <w:p>
            <w:pPr>
              <w:spacing w:line="360" w:lineRule="exact"/>
              <w:contextualSpacing/>
              <w:jc w:val="center"/>
              <w:rPr>
                <w:rFonts w:ascii="Times New Roman" w:eastAsia="宋体" w:cs="Times New Roman"/>
                <w:sz w:val="24"/>
                <w:szCs w:val="24"/>
              </w:rPr>
            </w:pPr>
            <w:r>
              <w:rPr>
                <w:rFonts w:ascii="Times New Roman" w:cs="Times New Roman"/>
                <w:sz w:val="24"/>
                <w:szCs w:val="24"/>
              </w:rPr>
              <w:t>地址</w:t>
            </w:r>
          </w:p>
        </w:tc>
        <w:tc>
          <w:tcPr>
            <w:tcW w:w="4779" w:type="dxa"/>
            <w:gridSpan w:val="4"/>
            <w:vAlign w:val="center"/>
          </w:tcPr>
          <w:p>
            <w:pPr>
              <w:spacing w:line="360" w:lineRule="exact"/>
              <w:contextualSpacing/>
              <w:rPr>
                <w:rFonts w:ascii="Times New Roman" w:eastAsia="宋体" w:cs="Times New Roman"/>
                <w:sz w:val="24"/>
                <w:szCs w:val="24"/>
              </w:rPr>
            </w:pPr>
          </w:p>
        </w:tc>
        <w:tc>
          <w:tcPr>
            <w:tcW w:w="928" w:type="dxa"/>
            <w:vAlign w:val="center"/>
          </w:tcPr>
          <w:p>
            <w:pPr>
              <w:spacing w:line="360" w:lineRule="exact"/>
              <w:contextualSpacing/>
              <w:jc w:val="center"/>
              <w:rPr>
                <w:rFonts w:ascii="Times New Roman" w:eastAsia="宋体" w:cs="Times New Roman"/>
                <w:sz w:val="24"/>
                <w:szCs w:val="24"/>
              </w:rPr>
            </w:pPr>
            <w:r>
              <w:rPr>
                <w:rFonts w:ascii="Times New Roman" w:cs="Times New Roman"/>
                <w:sz w:val="24"/>
                <w:szCs w:val="24"/>
              </w:rPr>
              <w:t>邮政</w:t>
            </w:r>
          </w:p>
          <w:p>
            <w:pPr>
              <w:spacing w:line="360" w:lineRule="exact"/>
              <w:contextualSpacing/>
              <w:jc w:val="center"/>
              <w:rPr>
                <w:rFonts w:ascii="Times New Roman" w:eastAsia="宋体" w:cs="Times New Roman"/>
                <w:sz w:val="24"/>
                <w:szCs w:val="24"/>
              </w:rPr>
            </w:pPr>
            <w:r>
              <w:rPr>
                <w:rFonts w:ascii="Times New Roman" w:cs="Times New Roman"/>
                <w:sz w:val="24"/>
                <w:szCs w:val="24"/>
              </w:rPr>
              <w:t>编码</w:t>
            </w:r>
          </w:p>
        </w:tc>
        <w:tc>
          <w:tcPr>
            <w:tcW w:w="1619" w:type="dxa"/>
            <w:gridSpan w:val="2"/>
            <w:vAlign w:val="center"/>
          </w:tcPr>
          <w:p>
            <w:pPr>
              <w:spacing w:line="360" w:lineRule="exact"/>
              <w:contextualSpacing/>
              <w:rPr>
                <w:rFonts w:hint="default" w:ascii="Times New Roman" w:eastAsia="宋体" w:cs="Times New Roman"/>
                <w:sz w:val="24"/>
                <w:szCs w:val="24"/>
                <w:lang w:val="en-US" w:eastAsia="zh-CN"/>
              </w:rPr>
            </w:pPr>
            <w:r>
              <w:rPr>
                <w:rFonts w:hint="eastAsia" w:ascii="Times New Roman" w:eastAsia="宋体" w:cs="Times New Roman"/>
                <w:sz w:val="24"/>
                <w:szCs w:val="24"/>
                <w:lang w:val="en-US" w:eastAsia="zh-CN"/>
              </w:rPr>
              <w:t>453000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836" w:type="dxa"/>
            <w:vAlign w:val="center"/>
          </w:tcPr>
          <w:p>
            <w:pPr>
              <w:spacing w:line="360" w:lineRule="exact"/>
              <w:contextualSpacing/>
              <w:jc w:val="center"/>
              <w:rPr>
                <w:rFonts w:ascii="Times New Roman" w:eastAsia="宋体" w:cs="Times New Roman"/>
                <w:sz w:val="24"/>
                <w:szCs w:val="24"/>
              </w:rPr>
            </w:pPr>
            <w:r>
              <w:rPr>
                <w:rFonts w:ascii="Times New Roman" w:cs="Times New Roman"/>
                <w:sz w:val="24"/>
                <w:szCs w:val="24"/>
              </w:rPr>
              <w:t>消防安全</w:t>
            </w:r>
          </w:p>
          <w:p>
            <w:pPr>
              <w:spacing w:line="360" w:lineRule="exact"/>
              <w:contextualSpacing/>
              <w:jc w:val="center"/>
              <w:rPr>
                <w:rFonts w:ascii="Times New Roman" w:eastAsia="宋体" w:cs="Times New Roman"/>
                <w:sz w:val="24"/>
                <w:szCs w:val="24"/>
              </w:rPr>
            </w:pPr>
            <w:r>
              <w:rPr>
                <w:rFonts w:ascii="Times New Roman" w:cs="Times New Roman"/>
                <w:sz w:val="24"/>
                <w:szCs w:val="24"/>
              </w:rPr>
              <w:t>责任人</w:t>
            </w:r>
          </w:p>
        </w:tc>
        <w:tc>
          <w:tcPr>
            <w:tcW w:w="931" w:type="dxa"/>
            <w:vAlign w:val="center"/>
          </w:tcPr>
          <w:p>
            <w:pPr>
              <w:spacing w:line="360" w:lineRule="exact"/>
              <w:contextualSpacing/>
              <w:rPr>
                <w:rFonts w:ascii="Times New Roman" w:eastAsia="宋体" w:cs="Times New Roman"/>
                <w:sz w:val="24"/>
                <w:szCs w:val="24"/>
              </w:rPr>
            </w:pPr>
            <w:r>
              <w:rPr>
                <w:rFonts w:ascii="Times New Roman" w:cs="Times New Roman"/>
                <w:sz w:val="24"/>
                <w:szCs w:val="24"/>
              </w:rPr>
              <w:t>XXXXXX</w:t>
            </w:r>
          </w:p>
        </w:tc>
        <w:tc>
          <w:tcPr>
            <w:tcW w:w="456" w:type="dxa"/>
            <w:vAlign w:val="center"/>
          </w:tcPr>
          <w:p>
            <w:pPr>
              <w:spacing w:line="360" w:lineRule="exact"/>
              <w:contextualSpacing/>
              <w:jc w:val="center"/>
              <w:rPr>
                <w:rFonts w:ascii="Times New Roman" w:eastAsia="宋体" w:cs="Times New Roman"/>
                <w:sz w:val="24"/>
                <w:szCs w:val="24"/>
              </w:rPr>
            </w:pPr>
            <w:r>
              <w:rPr>
                <w:rFonts w:ascii="Times New Roman" w:cs="Times New Roman"/>
                <w:sz w:val="24"/>
                <w:szCs w:val="24"/>
              </w:rPr>
              <w:t>电</w:t>
            </w:r>
          </w:p>
          <w:p>
            <w:pPr>
              <w:spacing w:line="360" w:lineRule="exact"/>
              <w:contextualSpacing/>
              <w:jc w:val="center"/>
              <w:rPr>
                <w:rFonts w:ascii="Times New Roman" w:eastAsia="宋体" w:cs="Times New Roman"/>
                <w:sz w:val="24"/>
                <w:szCs w:val="24"/>
              </w:rPr>
            </w:pPr>
            <w:r>
              <w:rPr>
                <w:rFonts w:ascii="Times New Roman" w:cs="Times New Roman"/>
                <w:sz w:val="24"/>
                <w:szCs w:val="24"/>
              </w:rPr>
              <w:t>话</w:t>
            </w:r>
          </w:p>
        </w:tc>
        <w:tc>
          <w:tcPr>
            <w:tcW w:w="1282" w:type="dxa"/>
            <w:vAlign w:val="center"/>
          </w:tcPr>
          <w:p>
            <w:pPr>
              <w:spacing w:line="360" w:lineRule="exact"/>
              <w:contextualSpacing/>
              <w:rPr>
                <w:rFonts w:ascii="Times New Roman" w:eastAsia="宋体" w:cs="Times New Roman"/>
                <w:sz w:val="24"/>
                <w:szCs w:val="24"/>
              </w:rPr>
            </w:pPr>
            <w:r>
              <w:rPr>
                <w:rFonts w:ascii="Times New Roman" w:cs="Times New Roman"/>
                <w:sz w:val="24"/>
                <w:szCs w:val="24"/>
              </w:rPr>
              <w:t>12345678</w:t>
            </w:r>
          </w:p>
        </w:tc>
        <w:tc>
          <w:tcPr>
            <w:tcW w:w="2110" w:type="dxa"/>
            <w:vAlign w:val="center"/>
          </w:tcPr>
          <w:p>
            <w:pPr>
              <w:spacing w:line="360" w:lineRule="exact"/>
              <w:contextualSpacing/>
              <w:jc w:val="center"/>
              <w:rPr>
                <w:rFonts w:ascii="Times New Roman" w:eastAsia="宋体" w:cs="Times New Roman"/>
                <w:sz w:val="24"/>
                <w:szCs w:val="24"/>
              </w:rPr>
            </w:pPr>
            <w:r>
              <w:rPr>
                <w:rFonts w:ascii="Times New Roman" w:cs="Times New Roman"/>
                <w:sz w:val="24"/>
                <w:szCs w:val="24"/>
              </w:rPr>
              <w:t>消防安全</w:t>
            </w:r>
          </w:p>
          <w:p>
            <w:pPr>
              <w:spacing w:line="360" w:lineRule="exact"/>
              <w:contextualSpacing/>
              <w:jc w:val="center"/>
              <w:rPr>
                <w:rFonts w:ascii="Times New Roman" w:eastAsia="宋体" w:cs="Times New Roman"/>
                <w:sz w:val="24"/>
                <w:szCs w:val="24"/>
              </w:rPr>
            </w:pPr>
            <w:r>
              <w:rPr>
                <w:rFonts w:ascii="Times New Roman" w:cs="Times New Roman"/>
                <w:sz w:val="24"/>
                <w:szCs w:val="24"/>
              </w:rPr>
              <w:t>管理人</w:t>
            </w:r>
          </w:p>
        </w:tc>
        <w:tc>
          <w:tcPr>
            <w:tcW w:w="928" w:type="dxa"/>
            <w:vAlign w:val="center"/>
          </w:tcPr>
          <w:p>
            <w:pPr>
              <w:spacing w:line="360" w:lineRule="exact"/>
              <w:contextualSpacing/>
              <w:rPr>
                <w:rFonts w:ascii="Times New Roman" w:eastAsia="宋体" w:cs="Times New Roman"/>
                <w:sz w:val="24"/>
                <w:szCs w:val="24"/>
              </w:rPr>
            </w:pPr>
            <w:r>
              <w:rPr>
                <w:rFonts w:ascii="Times New Roman" w:cs="Times New Roman"/>
                <w:sz w:val="24"/>
                <w:szCs w:val="24"/>
              </w:rPr>
              <w:t>XXXXXX</w:t>
            </w:r>
          </w:p>
        </w:tc>
        <w:tc>
          <w:tcPr>
            <w:tcW w:w="454" w:type="dxa"/>
            <w:vAlign w:val="center"/>
          </w:tcPr>
          <w:p>
            <w:pPr>
              <w:spacing w:line="360" w:lineRule="exact"/>
              <w:contextualSpacing/>
              <w:jc w:val="center"/>
              <w:rPr>
                <w:rFonts w:ascii="Times New Roman" w:eastAsia="宋体" w:cs="Times New Roman"/>
                <w:sz w:val="24"/>
                <w:szCs w:val="24"/>
              </w:rPr>
            </w:pPr>
            <w:r>
              <w:rPr>
                <w:rFonts w:ascii="Times New Roman" w:cs="Times New Roman"/>
                <w:sz w:val="24"/>
                <w:szCs w:val="24"/>
              </w:rPr>
              <w:t>电</w:t>
            </w:r>
          </w:p>
          <w:p>
            <w:pPr>
              <w:spacing w:line="360" w:lineRule="exact"/>
              <w:contextualSpacing/>
              <w:jc w:val="center"/>
              <w:rPr>
                <w:rFonts w:ascii="Times New Roman" w:eastAsia="宋体" w:cs="Times New Roman"/>
                <w:sz w:val="24"/>
                <w:szCs w:val="24"/>
              </w:rPr>
            </w:pPr>
            <w:r>
              <w:rPr>
                <w:rFonts w:ascii="Times New Roman" w:cs="Times New Roman"/>
                <w:sz w:val="24"/>
                <w:szCs w:val="24"/>
              </w:rPr>
              <w:t>话</w:t>
            </w:r>
          </w:p>
        </w:tc>
        <w:tc>
          <w:tcPr>
            <w:tcW w:w="1165" w:type="dxa"/>
            <w:vAlign w:val="center"/>
          </w:tcPr>
          <w:p>
            <w:pPr>
              <w:spacing w:line="360" w:lineRule="exact"/>
              <w:contextualSpacing/>
              <w:rPr>
                <w:rFonts w:ascii="Times New Roman" w:eastAsia="宋体" w:cs="Times New Roman"/>
                <w:sz w:val="24"/>
                <w:szCs w:val="24"/>
              </w:rPr>
            </w:pPr>
            <w:r>
              <w:rPr>
                <w:rFonts w:ascii="Times New Roman" w:cs="Times New Roman"/>
                <w:sz w:val="24"/>
                <w:szCs w:val="24"/>
              </w:rPr>
              <w:t>12345678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atLeast"/>
          <w:jc w:val="center"/>
        </w:trPr>
        <w:tc>
          <w:tcPr>
            <w:tcW w:w="1836" w:type="dxa"/>
            <w:vAlign w:val="center"/>
          </w:tcPr>
          <w:p>
            <w:pPr>
              <w:spacing w:line="360" w:lineRule="exact"/>
              <w:contextualSpacing/>
              <w:jc w:val="center"/>
              <w:rPr>
                <w:rFonts w:ascii="Times New Roman" w:eastAsia="宋体" w:cs="Times New Roman"/>
                <w:sz w:val="24"/>
                <w:szCs w:val="24"/>
              </w:rPr>
            </w:pPr>
            <w:r>
              <w:rPr>
                <w:rFonts w:ascii="Times New Roman" w:cs="Times New Roman"/>
                <w:sz w:val="24"/>
                <w:szCs w:val="24"/>
              </w:rPr>
              <w:t>消防安全归口</w:t>
            </w:r>
          </w:p>
          <w:p>
            <w:pPr>
              <w:spacing w:line="360" w:lineRule="exact"/>
              <w:contextualSpacing/>
              <w:jc w:val="center"/>
              <w:rPr>
                <w:rFonts w:ascii="Times New Roman" w:eastAsia="宋体" w:cs="Times New Roman"/>
                <w:sz w:val="24"/>
                <w:szCs w:val="24"/>
              </w:rPr>
            </w:pPr>
            <w:r>
              <w:rPr>
                <w:rFonts w:ascii="Times New Roman" w:cs="Times New Roman"/>
                <w:sz w:val="24"/>
                <w:szCs w:val="24"/>
              </w:rPr>
              <w:t>管理职能部门</w:t>
            </w:r>
          </w:p>
        </w:tc>
        <w:tc>
          <w:tcPr>
            <w:tcW w:w="931" w:type="dxa"/>
            <w:vAlign w:val="center"/>
          </w:tcPr>
          <w:p>
            <w:pPr>
              <w:spacing w:line="360" w:lineRule="exact"/>
              <w:contextualSpacing/>
              <w:rPr>
                <w:rFonts w:ascii="Times New Roman" w:eastAsia="宋体" w:cs="Times New Roman"/>
                <w:sz w:val="24"/>
                <w:szCs w:val="24"/>
              </w:rPr>
            </w:pPr>
          </w:p>
        </w:tc>
        <w:tc>
          <w:tcPr>
            <w:tcW w:w="456" w:type="dxa"/>
            <w:vAlign w:val="center"/>
          </w:tcPr>
          <w:p>
            <w:pPr>
              <w:spacing w:line="360" w:lineRule="exact"/>
              <w:contextualSpacing/>
              <w:jc w:val="center"/>
              <w:rPr>
                <w:rFonts w:ascii="Times New Roman" w:eastAsia="宋体" w:cs="Times New Roman"/>
                <w:sz w:val="24"/>
                <w:szCs w:val="24"/>
              </w:rPr>
            </w:pPr>
            <w:r>
              <w:rPr>
                <w:rFonts w:ascii="Times New Roman" w:cs="Times New Roman"/>
                <w:sz w:val="24"/>
                <w:szCs w:val="24"/>
              </w:rPr>
              <w:t>电</w:t>
            </w:r>
          </w:p>
          <w:p>
            <w:pPr>
              <w:spacing w:line="360" w:lineRule="exact"/>
              <w:contextualSpacing/>
              <w:jc w:val="center"/>
              <w:rPr>
                <w:rFonts w:ascii="Times New Roman" w:eastAsia="宋体" w:cs="Times New Roman"/>
                <w:sz w:val="24"/>
                <w:szCs w:val="24"/>
              </w:rPr>
            </w:pPr>
            <w:r>
              <w:rPr>
                <w:rFonts w:ascii="Times New Roman" w:cs="Times New Roman"/>
                <w:sz w:val="24"/>
                <w:szCs w:val="24"/>
              </w:rPr>
              <w:t>话</w:t>
            </w:r>
          </w:p>
        </w:tc>
        <w:tc>
          <w:tcPr>
            <w:tcW w:w="1282" w:type="dxa"/>
            <w:vAlign w:val="center"/>
          </w:tcPr>
          <w:p>
            <w:pPr>
              <w:spacing w:line="360" w:lineRule="exact"/>
              <w:contextualSpacing/>
              <w:rPr>
                <w:rFonts w:ascii="Times New Roman" w:eastAsia="宋体" w:cs="Times New Roman"/>
                <w:sz w:val="24"/>
                <w:szCs w:val="24"/>
              </w:rPr>
            </w:pPr>
          </w:p>
        </w:tc>
        <w:tc>
          <w:tcPr>
            <w:tcW w:w="2110" w:type="dxa"/>
            <w:vAlign w:val="center"/>
          </w:tcPr>
          <w:p>
            <w:pPr>
              <w:spacing w:line="360" w:lineRule="exact"/>
              <w:contextualSpacing/>
              <w:jc w:val="center"/>
              <w:rPr>
                <w:rFonts w:ascii="Times New Roman" w:eastAsia="宋体" w:cs="Times New Roman"/>
                <w:sz w:val="24"/>
                <w:szCs w:val="24"/>
              </w:rPr>
            </w:pPr>
            <w:r>
              <w:rPr>
                <w:rFonts w:ascii="Times New Roman" w:cs="Times New Roman"/>
                <w:sz w:val="24"/>
                <w:szCs w:val="24"/>
              </w:rPr>
              <w:t>□专职  □兼职</w:t>
            </w:r>
          </w:p>
          <w:p>
            <w:pPr>
              <w:spacing w:line="360" w:lineRule="exact"/>
              <w:contextualSpacing/>
              <w:jc w:val="center"/>
              <w:rPr>
                <w:rFonts w:ascii="Times New Roman" w:eastAsia="宋体" w:cs="Times New Roman"/>
                <w:sz w:val="24"/>
                <w:szCs w:val="24"/>
              </w:rPr>
            </w:pPr>
            <w:r>
              <w:rPr>
                <w:rFonts w:ascii="Times New Roman" w:cs="Times New Roman"/>
                <w:sz w:val="24"/>
                <w:szCs w:val="24"/>
              </w:rPr>
              <w:t>消防管理人员</w:t>
            </w:r>
          </w:p>
        </w:tc>
        <w:tc>
          <w:tcPr>
            <w:tcW w:w="928" w:type="dxa"/>
            <w:vAlign w:val="center"/>
          </w:tcPr>
          <w:p>
            <w:pPr>
              <w:spacing w:line="360" w:lineRule="exact"/>
              <w:contextualSpacing/>
              <w:rPr>
                <w:rFonts w:ascii="Times New Roman" w:eastAsia="宋体" w:cs="Times New Roman"/>
                <w:sz w:val="24"/>
                <w:szCs w:val="24"/>
              </w:rPr>
            </w:pPr>
          </w:p>
        </w:tc>
        <w:tc>
          <w:tcPr>
            <w:tcW w:w="454" w:type="dxa"/>
            <w:vAlign w:val="center"/>
          </w:tcPr>
          <w:p>
            <w:pPr>
              <w:spacing w:line="360" w:lineRule="exact"/>
              <w:contextualSpacing/>
              <w:jc w:val="center"/>
              <w:rPr>
                <w:rFonts w:ascii="Times New Roman" w:eastAsia="宋体" w:cs="Times New Roman"/>
                <w:sz w:val="24"/>
                <w:szCs w:val="24"/>
              </w:rPr>
            </w:pPr>
            <w:r>
              <w:rPr>
                <w:rFonts w:ascii="Times New Roman" w:cs="Times New Roman"/>
                <w:sz w:val="24"/>
                <w:szCs w:val="24"/>
              </w:rPr>
              <w:t>电</w:t>
            </w:r>
          </w:p>
          <w:p>
            <w:pPr>
              <w:spacing w:line="360" w:lineRule="exact"/>
              <w:contextualSpacing/>
              <w:jc w:val="center"/>
              <w:rPr>
                <w:rFonts w:ascii="Times New Roman" w:eastAsia="宋体" w:cs="Times New Roman"/>
                <w:sz w:val="24"/>
                <w:szCs w:val="24"/>
              </w:rPr>
            </w:pPr>
            <w:r>
              <w:rPr>
                <w:rFonts w:ascii="Times New Roman" w:cs="Times New Roman"/>
                <w:sz w:val="24"/>
                <w:szCs w:val="24"/>
              </w:rPr>
              <w:t>话</w:t>
            </w:r>
          </w:p>
        </w:tc>
        <w:tc>
          <w:tcPr>
            <w:tcW w:w="1165" w:type="dxa"/>
            <w:vAlign w:val="center"/>
          </w:tcPr>
          <w:p>
            <w:pPr>
              <w:spacing w:line="360" w:lineRule="exact"/>
              <w:contextualSpacing/>
              <w:rPr>
                <w:rFonts w:ascii="Times New Roman"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0" w:hRule="atLeast"/>
          <w:jc w:val="center"/>
        </w:trPr>
        <w:tc>
          <w:tcPr>
            <w:tcW w:w="1836" w:type="dxa"/>
            <w:vAlign w:val="center"/>
          </w:tcPr>
          <w:p>
            <w:pPr>
              <w:spacing w:line="360" w:lineRule="exact"/>
              <w:contextualSpacing/>
              <w:jc w:val="center"/>
              <w:rPr>
                <w:rFonts w:ascii="Times New Roman" w:eastAsia="宋体" w:cs="Times New Roman"/>
                <w:sz w:val="24"/>
                <w:szCs w:val="24"/>
              </w:rPr>
            </w:pPr>
            <w:r>
              <w:rPr>
                <w:rFonts w:ascii="Times New Roman" w:cs="Times New Roman"/>
                <w:sz w:val="24"/>
                <w:szCs w:val="24"/>
              </w:rPr>
              <w:t>申 报</w:t>
            </w:r>
          </w:p>
          <w:p>
            <w:pPr>
              <w:spacing w:line="360" w:lineRule="exact"/>
              <w:contextualSpacing/>
              <w:jc w:val="center"/>
              <w:rPr>
                <w:rFonts w:ascii="Times New Roman" w:eastAsia="宋体" w:cs="Times New Roman"/>
                <w:sz w:val="24"/>
                <w:szCs w:val="24"/>
              </w:rPr>
            </w:pPr>
          </w:p>
          <w:p>
            <w:pPr>
              <w:spacing w:line="360" w:lineRule="exact"/>
              <w:contextualSpacing/>
              <w:jc w:val="center"/>
              <w:rPr>
                <w:rFonts w:ascii="Times New Roman" w:eastAsia="宋体" w:cs="Times New Roman"/>
                <w:sz w:val="24"/>
                <w:szCs w:val="24"/>
              </w:rPr>
            </w:pPr>
            <w:r>
              <w:rPr>
                <w:rFonts w:ascii="Times New Roman" w:cs="Times New Roman"/>
                <w:sz w:val="24"/>
                <w:szCs w:val="24"/>
              </w:rPr>
              <w:t>单 位</w:t>
            </w:r>
          </w:p>
          <w:p>
            <w:pPr>
              <w:spacing w:line="360" w:lineRule="exact"/>
              <w:contextualSpacing/>
              <w:jc w:val="center"/>
              <w:rPr>
                <w:rFonts w:ascii="Times New Roman" w:eastAsia="宋体" w:cs="Times New Roman"/>
                <w:sz w:val="24"/>
                <w:szCs w:val="24"/>
              </w:rPr>
            </w:pPr>
          </w:p>
          <w:p>
            <w:pPr>
              <w:spacing w:line="360" w:lineRule="exact"/>
              <w:contextualSpacing/>
              <w:jc w:val="center"/>
              <w:rPr>
                <w:rFonts w:ascii="Times New Roman" w:eastAsia="宋体" w:cs="Times New Roman"/>
                <w:b/>
                <w:sz w:val="24"/>
                <w:szCs w:val="24"/>
              </w:rPr>
            </w:pPr>
            <w:r>
              <w:rPr>
                <w:rFonts w:ascii="Times New Roman" w:cs="Times New Roman"/>
                <w:sz w:val="24"/>
                <w:szCs w:val="24"/>
              </w:rPr>
              <w:t>意 见</w:t>
            </w:r>
          </w:p>
        </w:tc>
        <w:tc>
          <w:tcPr>
            <w:tcW w:w="7326" w:type="dxa"/>
            <w:gridSpan w:val="7"/>
          </w:tcPr>
          <w:p>
            <w:pPr>
              <w:spacing w:line="360" w:lineRule="exact"/>
              <w:ind w:firstLine="472"/>
              <w:contextualSpacing/>
              <w:rPr>
                <w:rFonts w:ascii="Times New Roman" w:eastAsia="宋体" w:cs="Times New Roman"/>
                <w:sz w:val="24"/>
                <w:szCs w:val="24"/>
              </w:rPr>
            </w:pPr>
            <w:r>
              <w:rPr>
                <w:rFonts w:ascii="Times New Roman" w:cs="Times New Roman"/>
                <w:sz w:val="24"/>
                <w:szCs w:val="24"/>
              </w:rPr>
              <w:t>我单位符合《新乡市消防安全重点单位分级界定标准》（2007年修订版）第    条第    款条件。根据《机关、团体、企业、事业单位消防安全管理规定》，现申报为消防安全重点单位。</w:t>
            </w:r>
          </w:p>
          <w:p>
            <w:pPr>
              <w:spacing w:line="360" w:lineRule="exact"/>
              <w:ind w:firstLine="472"/>
              <w:contextualSpacing/>
              <w:rPr>
                <w:rFonts w:ascii="Times New Roman" w:eastAsia="宋体" w:cs="Times New Roman"/>
                <w:sz w:val="24"/>
                <w:szCs w:val="24"/>
              </w:rPr>
            </w:pPr>
            <w:r>
              <w:rPr>
                <w:rFonts w:ascii="Times New Roman" w:cs="Times New Roman"/>
                <w:sz w:val="24"/>
                <w:szCs w:val="24"/>
              </w:rPr>
              <w:t>根据《河南省火灾高危单位消防安全管理规定》第  条条件，经我单位自我评估，我单位为火灾高危单位。</w:t>
            </w:r>
          </w:p>
          <w:p>
            <w:pPr>
              <w:spacing w:line="360" w:lineRule="exact"/>
              <w:contextualSpacing/>
              <w:rPr>
                <w:rFonts w:ascii="Times New Roman" w:eastAsia="宋体" w:cs="Times New Roman"/>
                <w:sz w:val="24"/>
                <w:szCs w:val="24"/>
              </w:rPr>
            </w:pPr>
            <w:r>
              <w:rPr>
                <w:rFonts w:ascii="Times New Roman" w:cs="Times New Roman"/>
                <w:sz w:val="24"/>
                <w:szCs w:val="24"/>
              </w:rPr>
              <w:t xml:space="preserve">                                  单位（章）：</w:t>
            </w:r>
          </w:p>
          <w:p>
            <w:pPr>
              <w:spacing w:line="360" w:lineRule="exact"/>
              <w:contextualSpacing/>
              <w:rPr>
                <w:rFonts w:ascii="Times New Roman" w:eastAsia="宋体" w:cs="Times New Roman"/>
                <w:sz w:val="24"/>
                <w:szCs w:val="24"/>
              </w:rPr>
            </w:pPr>
          </w:p>
          <w:p>
            <w:pPr>
              <w:spacing w:line="360" w:lineRule="exact"/>
              <w:ind w:firstLine="472"/>
              <w:contextualSpacing/>
              <w:rPr>
                <w:rFonts w:ascii="Times New Roman" w:eastAsia="宋体" w:cs="Times New Roman"/>
                <w:sz w:val="24"/>
                <w:szCs w:val="24"/>
              </w:rPr>
            </w:pPr>
            <w:r>
              <w:rPr>
                <w:rFonts w:ascii="Times New Roman" w:cs="Times New Roman"/>
                <w:sz w:val="24"/>
                <w:szCs w:val="24"/>
              </w:rPr>
              <w:t>消防安全责任人（签字）：</w:t>
            </w:r>
          </w:p>
          <w:p>
            <w:pPr>
              <w:spacing w:line="360" w:lineRule="exact"/>
              <w:contextualSpacing/>
              <w:jc w:val="right"/>
              <w:rPr>
                <w:rFonts w:ascii="Times New Roman" w:eastAsia="宋体" w:cs="Times New Roman"/>
                <w:sz w:val="24"/>
                <w:szCs w:val="24"/>
              </w:rPr>
            </w:pPr>
            <w:r>
              <w:rPr>
                <w:rFonts w:ascii="Times New Roman"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5" w:hRule="atLeast"/>
          <w:jc w:val="center"/>
        </w:trPr>
        <w:tc>
          <w:tcPr>
            <w:tcW w:w="1836" w:type="dxa"/>
            <w:vAlign w:val="center"/>
          </w:tcPr>
          <w:p>
            <w:pPr>
              <w:spacing w:line="360" w:lineRule="exact"/>
              <w:contextualSpacing/>
              <w:jc w:val="center"/>
              <w:rPr>
                <w:rFonts w:ascii="Times New Roman" w:eastAsia="宋体" w:cs="Times New Roman"/>
                <w:sz w:val="24"/>
                <w:szCs w:val="24"/>
              </w:rPr>
            </w:pPr>
            <w:r>
              <w:rPr>
                <w:rFonts w:ascii="Times New Roman" w:cs="Times New Roman"/>
                <w:sz w:val="24"/>
                <w:szCs w:val="24"/>
              </w:rPr>
              <w:t>消防</w:t>
            </w:r>
            <w:r>
              <w:rPr>
                <w:rFonts w:ascii="Times New Roman" w:eastAsia="宋体" w:cs="Times New Roman"/>
                <w:sz w:val="24"/>
                <w:szCs w:val="24"/>
              </w:rPr>
              <w:t>部门</w:t>
            </w:r>
          </w:p>
          <w:p>
            <w:pPr>
              <w:spacing w:line="360" w:lineRule="exact"/>
              <w:contextualSpacing/>
              <w:jc w:val="center"/>
              <w:rPr>
                <w:rFonts w:ascii="Times New Roman" w:eastAsia="宋体" w:cs="Times New Roman"/>
                <w:sz w:val="24"/>
                <w:szCs w:val="24"/>
              </w:rPr>
            </w:pPr>
            <w:r>
              <w:rPr>
                <w:rFonts w:ascii="Times New Roman" w:cs="Times New Roman"/>
                <w:sz w:val="24"/>
                <w:szCs w:val="24"/>
              </w:rPr>
              <w:t>经办人</w:t>
            </w:r>
          </w:p>
          <w:p>
            <w:pPr>
              <w:spacing w:line="360" w:lineRule="exact"/>
              <w:contextualSpacing/>
              <w:jc w:val="center"/>
              <w:rPr>
                <w:rFonts w:ascii="Times New Roman" w:eastAsia="宋体" w:cs="Times New Roman"/>
                <w:sz w:val="24"/>
                <w:szCs w:val="24"/>
              </w:rPr>
            </w:pPr>
            <w:r>
              <w:rPr>
                <w:rFonts w:ascii="Times New Roman" w:cs="Times New Roman"/>
                <w:sz w:val="24"/>
                <w:szCs w:val="24"/>
              </w:rPr>
              <w:t>意  见</w:t>
            </w:r>
          </w:p>
        </w:tc>
        <w:tc>
          <w:tcPr>
            <w:tcW w:w="7326" w:type="dxa"/>
            <w:gridSpan w:val="7"/>
          </w:tcPr>
          <w:p>
            <w:pPr>
              <w:spacing w:line="360" w:lineRule="exact"/>
              <w:ind w:firstLine="472"/>
              <w:contextualSpacing/>
              <w:rPr>
                <w:rFonts w:ascii="Times New Roman" w:eastAsia="宋体" w:cs="Times New Roman"/>
                <w:sz w:val="24"/>
                <w:szCs w:val="24"/>
              </w:rPr>
            </w:pPr>
            <w:r>
              <w:rPr>
                <w:rFonts w:ascii="Times New Roman" w:cs="Times New Roman"/>
                <w:sz w:val="24"/>
                <w:szCs w:val="24"/>
              </w:rPr>
              <w:t>经核实，该单位符合《新乡市消防安全重点单位分级界定标准》（2020年修订版）第    条第    款条件。拟确定为消防安全重点单位列入监管范围。且该单位符合《河南省火灾高危单位消防安全管理规定》第  条，界定为火灾高危单位。</w:t>
            </w:r>
          </w:p>
          <w:p>
            <w:pPr>
              <w:spacing w:line="360" w:lineRule="exact"/>
              <w:ind w:firstLine="472"/>
              <w:contextualSpacing/>
              <w:rPr>
                <w:rFonts w:ascii="Times New Roman" w:eastAsia="宋体" w:cs="Times New Roman"/>
                <w:sz w:val="24"/>
                <w:szCs w:val="24"/>
              </w:rPr>
            </w:pPr>
            <w:r>
              <w:rPr>
                <w:rFonts w:ascii="Times New Roman" w:cs="Times New Roman"/>
                <w:sz w:val="24"/>
                <w:szCs w:val="24"/>
              </w:rPr>
              <w:t>经办人（签字）：</w:t>
            </w:r>
          </w:p>
          <w:p>
            <w:pPr>
              <w:spacing w:line="360" w:lineRule="exact"/>
              <w:contextualSpacing/>
              <w:jc w:val="right"/>
              <w:rPr>
                <w:rFonts w:ascii="Times New Roman" w:eastAsia="宋体" w:cs="Times New Roman"/>
                <w:b/>
                <w:sz w:val="24"/>
                <w:szCs w:val="24"/>
              </w:rPr>
            </w:pPr>
            <w:r>
              <w:rPr>
                <w:rFonts w:ascii="Times New Roman" w:cs="Times New Roman"/>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3" w:hRule="atLeast"/>
          <w:jc w:val="center"/>
        </w:trPr>
        <w:tc>
          <w:tcPr>
            <w:tcW w:w="1836" w:type="dxa"/>
            <w:vAlign w:val="center"/>
          </w:tcPr>
          <w:p>
            <w:pPr>
              <w:spacing w:line="360" w:lineRule="exact"/>
              <w:contextualSpacing/>
              <w:jc w:val="center"/>
              <w:rPr>
                <w:rFonts w:ascii="Times New Roman" w:cs="Times New Roman"/>
                <w:sz w:val="24"/>
              </w:rPr>
            </w:pPr>
            <w:r>
              <w:rPr>
                <w:rFonts w:ascii="Times New Roman" w:cs="Times New Roman"/>
                <w:sz w:val="24"/>
              </w:rPr>
              <w:t>消防部门</w:t>
            </w:r>
          </w:p>
          <w:p>
            <w:pPr>
              <w:spacing w:line="360" w:lineRule="exact"/>
              <w:contextualSpacing/>
              <w:jc w:val="center"/>
              <w:rPr>
                <w:rFonts w:ascii="Times New Roman" w:cs="Times New Roman"/>
                <w:sz w:val="24"/>
              </w:rPr>
            </w:pPr>
            <w:r>
              <w:rPr>
                <w:rFonts w:ascii="Times New Roman" w:cs="Times New Roman"/>
                <w:sz w:val="24"/>
              </w:rPr>
              <w:t>审核</w:t>
            </w:r>
          </w:p>
          <w:p>
            <w:pPr>
              <w:spacing w:line="360" w:lineRule="exact"/>
              <w:contextualSpacing/>
              <w:jc w:val="center"/>
              <w:rPr>
                <w:rFonts w:ascii="Times New Roman" w:eastAsia="宋体" w:cs="Times New Roman"/>
                <w:b/>
                <w:sz w:val="24"/>
              </w:rPr>
            </w:pPr>
            <w:r>
              <w:rPr>
                <w:rFonts w:ascii="Times New Roman" w:cs="Times New Roman"/>
                <w:sz w:val="24"/>
              </w:rPr>
              <w:t>意  见</w:t>
            </w:r>
          </w:p>
        </w:tc>
        <w:tc>
          <w:tcPr>
            <w:tcW w:w="7326" w:type="dxa"/>
            <w:gridSpan w:val="7"/>
          </w:tcPr>
          <w:p>
            <w:pPr>
              <w:spacing w:line="360" w:lineRule="exact"/>
              <w:contextualSpacing/>
              <w:rPr>
                <w:rFonts w:ascii="Times New Roman" w:eastAsia="宋体" w:cs="Times New Roman"/>
                <w:b/>
                <w:sz w:val="24"/>
              </w:rPr>
            </w:pPr>
          </w:p>
          <w:p>
            <w:pPr>
              <w:spacing w:line="360" w:lineRule="exact"/>
              <w:ind w:firstLine="472"/>
              <w:contextualSpacing/>
              <w:rPr>
                <w:rFonts w:ascii="Times New Roman" w:eastAsia="宋体" w:cs="Times New Roman"/>
                <w:sz w:val="24"/>
              </w:rPr>
            </w:pPr>
            <w:r>
              <w:rPr>
                <w:rFonts w:ascii="Times New Roman" w:cs="Times New Roman"/>
                <w:sz w:val="24"/>
              </w:rPr>
              <w:t>同意列管。</w:t>
            </w:r>
          </w:p>
          <w:p>
            <w:pPr>
              <w:spacing w:line="360" w:lineRule="exact"/>
              <w:contextualSpacing/>
              <w:rPr>
                <w:rFonts w:ascii="Times New Roman" w:eastAsia="宋体" w:cs="Times New Roman"/>
                <w:b/>
                <w:sz w:val="24"/>
              </w:rPr>
            </w:pPr>
          </w:p>
          <w:p>
            <w:pPr>
              <w:spacing w:line="360" w:lineRule="exact"/>
              <w:ind w:firstLine="472"/>
              <w:contextualSpacing/>
              <w:rPr>
                <w:rFonts w:ascii="Times New Roman" w:eastAsia="宋体" w:cs="Times New Roman"/>
                <w:sz w:val="24"/>
              </w:rPr>
            </w:pPr>
            <w:r>
              <w:rPr>
                <w:rFonts w:ascii="Times New Roman" w:cs="Times New Roman"/>
                <w:sz w:val="24"/>
              </w:rPr>
              <w:t>审核人（签字）：</w:t>
            </w:r>
          </w:p>
          <w:p>
            <w:pPr>
              <w:spacing w:line="360" w:lineRule="exact"/>
              <w:contextualSpacing/>
              <w:jc w:val="right"/>
              <w:rPr>
                <w:rFonts w:ascii="Times New Roman" w:eastAsia="宋体" w:cs="Times New Roman"/>
                <w:sz w:val="24"/>
              </w:rPr>
            </w:pPr>
            <w:r>
              <w:rPr>
                <w:rFonts w:ascii="Times New Roman" w:cs="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jc w:val="center"/>
        </w:trPr>
        <w:tc>
          <w:tcPr>
            <w:tcW w:w="9162" w:type="dxa"/>
            <w:gridSpan w:val="8"/>
            <w:vAlign w:val="center"/>
          </w:tcPr>
          <w:p>
            <w:pPr>
              <w:spacing w:line="320" w:lineRule="exact"/>
              <w:contextualSpacing/>
              <w:rPr>
                <w:rFonts w:ascii="Times New Roman" w:eastAsia="宋体" w:cs="Times New Roman"/>
                <w:sz w:val="24"/>
              </w:rPr>
            </w:pPr>
            <w:r>
              <w:rPr>
                <w:rFonts w:ascii="Times New Roman" w:cs="Times New Roman"/>
                <w:sz w:val="24"/>
              </w:rPr>
              <w:t>填表说明：</w:t>
            </w:r>
          </w:p>
          <w:p>
            <w:pPr>
              <w:spacing w:line="320" w:lineRule="exact"/>
              <w:contextualSpacing/>
              <w:rPr>
                <w:rFonts w:ascii="Times New Roman" w:eastAsia="宋体" w:cs="Times New Roman"/>
                <w:sz w:val="24"/>
              </w:rPr>
            </w:pPr>
            <w:r>
              <w:rPr>
                <w:rFonts w:ascii="Times New Roman" w:cs="Times New Roman"/>
                <w:sz w:val="24"/>
              </w:rPr>
              <w:t>1.消防安全责任人一栏，法人单位填写法定代表人，非法人单位填写主要负责人；</w:t>
            </w:r>
          </w:p>
          <w:p>
            <w:pPr>
              <w:spacing w:line="320" w:lineRule="exact"/>
              <w:contextualSpacing/>
              <w:rPr>
                <w:rFonts w:ascii="Times New Roman" w:eastAsia="宋体" w:cs="Times New Roman"/>
                <w:sz w:val="24"/>
              </w:rPr>
            </w:pPr>
            <w:r>
              <w:rPr>
                <w:rFonts w:ascii="Times New Roman" w:cs="Times New Roman"/>
                <w:sz w:val="24"/>
              </w:rPr>
              <w:t>2.消防安全管理人可以由单位副职担任，也可单独设置或者聘任，直接对单位的消防安全责任人负责；</w:t>
            </w:r>
          </w:p>
          <w:p>
            <w:pPr>
              <w:spacing w:line="320" w:lineRule="exact"/>
              <w:contextualSpacing/>
              <w:rPr>
                <w:rFonts w:ascii="Times New Roman" w:eastAsia="宋体" w:cs="Times New Roman"/>
                <w:sz w:val="24"/>
              </w:rPr>
            </w:pPr>
            <w:r>
              <w:rPr>
                <w:rFonts w:ascii="Times New Roman" w:cs="Times New Roman"/>
                <w:sz w:val="24"/>
              </w:rPr>
              <w:t>3.归口管理部门，是指单位消防安全管理的组织机构。如保卫处（科）、安全处（科）等。</w:t>
            </w:r>
          </w:p>
        </w:tc>
      </w:tr>
    </w:tbl>
    <w:p>
      <w:pPr>
        <w:spacing w:line="560" w:lineRule="exact"/>
        <w:rPr>
          <w:rFonts w:ascii="Times New Roman" w:eastAsia="黑体" w:cs="Times New Roman"/>
        </w:rPr>
        <w:sectPr>
          <w:footerReference r:id="rId3" w:type="default"/>
          <w:footerReference r:id="rId4" w:type="even"/>
          <w:pgSz w:w="11906" w:h="16838"/>
          <w:pgMar w:top="1417" w:right="1531" w:bottom="1417" w:left="1531" w:header="851" w:footer="850" w:gutter="0"/>
          <w:cols w:space="720" w:num="1"/>
          <w:docGrid w:type="linesAndChars" w:linePitch="579" w:charSpace="-849"/>
        </w:sectPr>
      </w:pPr>
    </w:p>
    <w:p>
      <w:pPr>
        <w:spacing w:line="560" w:lineRule="exact"/>
        <w:jc w:val="left"/>
        <w:rPr>
          <w:rFonts w:ascii="Times New Roman" w:eastAsia="方正小标宋简体" w:cs="Times New Roman"/>
          <w:sz w:val="44"/>
        </w:rPr>
      </w:pPr>
      <w:r>
        <w:rPr>
          <w:rFonts w:ascii="Times New Roman" w:hAnsi="黑体" w:eastAsia="黑体" w:cs="Times New Roman"/>
        </w:rPr>
        <w:t>附件</w:t>
      </w:r>
      <w:r>
        <w:rPr>
          <w:rFonts w:ascii="Times New Roman" w:eastAsia="黑体" w:cs="Times New Roman"/>
        </w:rPr>
        <w:t>1-2</w:t>
      </w:r>
    </w:p>
    <w:p>
      <w:pPr>
        <w:spacing w:line="579" w:lineRule="exact"/>
        <w:jc w:val="center"/>
        <w:rPr>
          <w:rFonts w:ascii="Times New Roman" w:eastAsia="方正小标宋简体" w:cs="Times New Roman"/>
          <w:bCs/>
          <w:snapToGrid w:val="0"/>
          <w:kern w:val="0"/>
          <w:sz w:val="44"/>
          <w:szCs w:val="44"/>
        </w:rPr>
      </w:pPr>
      <w:r>
        <w:rPr>
          <w:rFonts w:ascii="Times New Roman" w:eastAsia="方正小标宋简体" w:cs="Times New Roman"/>
          <w:bCs/>
          <w:snapToGrid w:val="0"/>
          <w:kern w:val="0"/>
          <w:sz w:val="44"/>
          <w:szCs w:val="44"/>
        </w:rPr>
        <w:t>新乡市消防安全重点单位分级界定标准</w:t>
      </w:r>
    </w:p>
    <w:p>
      <w:pPr>
        <w:spacing w:line="579" w:lineRule="exact"/>
        <w:jc w:val="center"/>
        <w:rPr>
          <w:rFonts w:ascii="Times New Roman" w:eastAsia="方正小标宋_GBK" w:cs="Times New Roman"/>
          <w:bCs/>
          <w:snapToGrid w:val="0"/>
          <w:kern w:val="0"/>
          <w:sz w:val="44"/>
          <w:szCs w:val="44"/>
        </w:rPr>
      </w:pPr>
    </w:p>
    <w:p>
      <w:pPr>
        <w:spacing w:line="579" w:lineRule="exact"/>
        <w:ind w:firstLine="640" w:firstLineChars="200"/>
        <w:rPr>
          <w:rFonts w:ascii="Times New Roman" w:eastAsia="方正黑体_GBK" w:cs="Times New Roman"/>
          <w:snapToGrid w:val="0"/>
          <w:kern w:val="0"/>
        </w:rPr>
      </w:pPr>
      <w:r>
        <w:rPr>
          <w:rFonts w:ascii="Times New Roman" w:eastAsia="方正黑体_GBK" w:cs="Times New Roman"/>
          <w:snapToGrid w:val="0"/>
          <w:kern w:val="0"/>
        </w:rPr>
        <w:t>一、一级消防安全重点单位（市消防救援支队列管，市城区范围内达到下列标准的单位）</w:t>
      </w:r>
    </w:p>
    <w:p>
      <w:pPr>
        <w:spacing w:line="579" w:lineRule="exact"/>
        <w:ind w:firstLine="640" w:firstLineChars="200"/>
        <w:rPr>
          <w:rFonts w:ascii="Times New Roman" w:eastAsia="方正楷体_GBK" w:cs="Times New Roman"/>
          <w:snapToGrid w:val="0"/>
          <w:color w:val="000000"/>
          <w:kern w:val="0"/>
          <w:shd w:val="clear" w:color="auto" w:fill="FFFFFF"/>
        </w:rPr>
      </w:pPr>
      <w:r>
        <w:rPr>
          <w:rFonts w:ascii="Times New Roman" w:eastAsia="方正楷体_GBK" w:cs="Times New Roman"/>
          <w:snapToGrid w:val="0"/>
          <w:color w:val="000000"/>
          <w:kern w:val="0"/>
          <w:shd w:val="clear" w:color="auto" w:fill="FFFFFF"/>
        </w:rPr>
        <w:t>（一）学生住宿总床位在3万张以上的综合性大学。</w:t>
      </w:r>
    </w:p>
    <w:p>
      <w:pPr>
        <w:spacing w:line="579" w:lineRule="exact"/>
        <w:ind w:firstLine="640" w:firstLineChars="200"/>
        <w:rPr>
          <w:rFonts w:ascii="Times New Roman" w:eastAsia="方正楷体_GBK" w:cs="Times New Roman"/>
          <w:snapToGrid w:val="0"/>
          <w:color w:val="000000"/>
          <w:kern w:val="0"/>
          <w:shd w:val="clear" w:color="auto" w:fill="FFFFFF"/>
        </w:rPr>
      </w:pPr>
      <w:r>
        <w:rPr>
          <w:rFonts w:ascii="Times New Roman" w:eastAsia="方正楷体_GBK" w:cs="Times New Roman"/>
          <w:snapToGrid w:val="0"/>
          <w:color w:val="000000"/>
          <w:kern w:val="0"/>
          <w:shd w:val="clear" w:color="auto" w:fill="FFFFFF"/>
        </w:rPr>
        <w:t>（二）具有典型代表性的单位。</w:t>
      </w:r>
    </w:p>
    <w:p>
      <w:pPr>
        <w:spacing w:line="579" w:lineRule="exact"/>
        <w:ind w:firstLine="640" w:firstLineChars="200"/>
        <w:rPr>
          <w:rFonts w:ascii="Times New Roman" w:eastAsia="方正楷体_GBK" w:cs="Times New Roman"/>
          <w:snapToGrid w:val="0"/>
          <w:color w:val="000000"/>
          <w:kern w:val="0"/>
          <w:shd w:val="clear" w:color="auto" w:fill="FFFFFF"/>
        </w:rPr>
      </w:pPr>
      <w:r>
        <w:rPr>
          <w:rFonts w:ascii="Times New Roman" w:eastAsia="方正楷体_GBK" w:cs="Times New Roman"/>
          <w:snapToGrid w:val="0"/>
          <w:color w:val="000000"/>
          <w:kern w:val="0"/>
          <w:shd w:val="clear" w:color="auto" w:fill="FFFFFF"/>
        </w:rPr>
        <w:t>（三）一级重点单位单位或建筑物内另有符合界定标准而法人不同的单位。</w:t>
      </w:r>
    </w:p>
    <w:p>
      <w:pPr>
        <w:spacing w:line="579" w:lineRule="exact"/>
        <w:ind w:firstLine="640" w:firstLineChars="200"/>
        <w:rPr>
          <w:rFonts w:ascii="Times New Roman" w:eastAsia="方正黑体_GBK" w:cs="Times New Roman"/>
          <w:snapToGrid w:val="0"/>
          <w:kern w:val="0"/>
        </w:rPr>
      </w:pPr>
      <w:r>
        <w:rPr>
          <w:rFonts w:ascii="Times New Roman" w:eastAsia="方正黑体_GBK" w:cs="Times New Roman"/>
          <w:snapToGrid w:val="0"/>
          <w:kern w:val="0"/>
        </w:rPr>
        <w:t>二、二级消防安全重点单位（县、市、区消防救援大队列管）</w:t>
      </w:r>
    </w:p>
    <w:p>
      <w:pPr>
        <w:spacing w:line="579" w:lineRule="exact"/>
        <w:ind w:firstLine="640" w:firstLineChars="200"/>
        <w:rPr>
          <w:rFonts w:ascii="Times New Roman" w:eastAsia="方正楷体_GBK" w:cs="Times New Roman"/>
          <w:snapToGrid w:val="0"/>
          <w:color w:val="000000"/>
          <w:kern w:val="0"/>
          <w:shd w:val="clear" w:color="auto" w:fill="FFFFFF"/>
        </w:rPr>
      </w:pPr>
      <w:r>
        <w:rPr>
          <w:rFonts w:ascii="Times New Roman" w:eastAsia="方正楷体_GBK" w:cs="Times New Roman"/>
          <w:snapToGrid w:val="0"/>
          <w:color w:val="000000"/>
          <w:kern w:val="0"/>
          <w:shd w:val="clear" w:color="auto" w:fill="FFFFFF"/>
        </w:rPr>
        <w:t>（一）宾馆、饭店、商场、集贸市场、体育场馆、会堂、公共娱乐场所等公众聚集场所</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1.建筑面积在2000平方米（含本数，下同）以上且经营可燃商品的商场、集贸市场。</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2.客房数在100间以上，或客房数在100间以下但设有商场、歌舞娱乐、餐饮场所等且建筑面积大于3000平方米的宾馆、饭店。</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3.除市级消防救援机构列管的公共体育场馆、会堂。</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4.建筑面积在500平方米以上的下列室内公共娱乐场所：</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（1）影剧院、放映厅、礼堂等演出放映场所；</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（2）舞厅、KTV等歌舞娱乐场所；</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（3）具有娱乐功能的夜总会、音乐茶座和餐饮场所；</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（4）游艺、游乐场所。</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5.建筑面积在1000平方米以上的足浴、美容院、桑拿浴室（洗浴部分面积除外）等营业性健身、休闲场所。</w:t>
      </w:r>
    </w:p>
    <w:p>
      <w:pPr>
        <w:spacing w:line="579" w:lineRule="exact"/>
        <w:ind w:firstLine="640" w:firstLineChars="200"/>
        <w:rPr>
          <w:rFonts w:ascii="Times New Roman" w:eastAsia="方正楷体_GBK" w:cs="Times New Roman"/>
          <w:snapToGrid w:val="0"/>
          <w:color w:val="000000"/>
          <w:kern w:val="0"/>
          <w:shd w:val="clear" w:color="auto" w:fill="FFFFFF"/>
        </w:rPr>
      </w:pPr>
      <w:r>
        <w:rPr>
          <w:rFonts w:ascii="Times New Roman" w:eastAsia="方正楷体_GBK" w:cs="Times New Roman"/>
          <w:snapToGrid w:val="0"/>
          <w:color w:val="000000"/>
          <w:kern w:val="0"/>
          <w:shd w:val="clear" w:color="auto" w:fill="FFFFFF"/>
        </w:rPr>
        <w:t>（二）医院、养老院和寄宿制的学校托儿所、幼儿园</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1.住院床位在300张以上的医疗保健机构。</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2.住宿床位在300张以上的养老院、福利院。</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3.学生住宿床位在500张以上的学校。</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4.幼儿住宿床位在300张以上的托儿所、幼儿园。</w:t>
      </w:r>
    </w:p>
    <w:p>
      <w:pPr>
        <w:spacing w:line="579" w:lineRule="exact"/>
        <w:ind w:firstLine="640" w:firstLineChars="200"/>
        <w:rPr>
          <w:rFonts w:ascii="Times New Roman" w:eastAsia="方正楷体_GBK" w:cs="Times New Roman"/>
          <w:snapToGrid w:val="0"/>
          <w:color w:val="000000"/>
          <w:kern w:val="0"/>
          <w:shd w:val="clear" w:color="auto" w:fill="FFFFFF"/>
        </w:rPr>
      </w:pPr>
      <w:r>
        <w:rPr>
          <w:rFonts w:ascii="Times New Roman" w:eastAsia="方正楷体_GBK" w:cs="Times New Roman"/>
          <w:snapToGrid w:val="0"/>
          <w:color w:val="000000"/>
          <w:kern w:val="0"/>
          <w:shd w:val="clear" w:color="auto" w:fill="FFFFFF"/>
        </w:rPr>
        <w:t>（三）国家机关</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1.县级以上的党委、人大、政府、政协。</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2.县级以上的人民检察院、人民法院。</w:t>
      </w:r>
    </w:p>
    <w:p>
      <w:pPr>
        <w:widowControl/>
        <w:topLinePunct/>
        <w:spacing w:line="579" w:lineRule="exact"/>
        <w:ind w:firstLine="640" w:firstLineChars="200"/>
        <w:jc w:val="left"/>
        <w:rPr>
          <w:rFonts w:ascii="Times New Roman" w:eastAsia="方正仿宋_GBK" w:cs="Times New Roman"/>
          <w:snapToGrid w:val="0"/>
          <w:spacing w:val="-4"/>
          <w:kern w:val="0"/>
        </w:rPr>
      </w:pPr>
      <w:r>
        <w:rPr>
          <w:rFonts w:ascii="Times New Roman" w:eastAsia="方正仿宋_GBK" w:cs="Times New Roman"/>
          <w:snapToGrid w:val="0"/>
          <w:kern w:val="0"/>
        </w:rPr>
        <w:t>3.</w:t>
      </w:r>
      <w:r>
        <w:rPr>
          <w:rFonts w:ascii="Times New Roman" w:eastAsia="方正仿宋_GBK" w:cs="Times New Roman"/>
          <w:snapToGrid w:val="0"/>
          <w:spacing w:val="-4"/>
          <w:kern w:val="0"/>
        </w:rPr>
        <w:t>火灾载荷较大、有较大社会影响的其他县级国家机关。</w:t>
      </w:r>
    </w:p>
    <w:p>
      <w:pPr>
        <w:spacing w:line="579" w:lineRule="exact"/>
        <w:ind w:firstLine="640" w:firstLineChars="200"/>
        <w:rPr>
          <w:rFonts w:ascii="Times New Roman" w:eastAsia="方正楷体_GBK" w:cs="Times New Roman"/>
          <w:snapToGrid w:val="0"/>
          <w:color w:val="000000"/>
          <w:kern w:val="0"/>
          <w:shd w:val="clear" w:color="auto" w:fill="FFFFFF"/>
        </w:rPr>
      </w:pPr>
      <w:r>
        <w:rPr>
          <w:rFonts w:ascii="Times New Roman" w:eastAsia="方正楷体_GBK" w:cs="Times New Roman"/>
          <w:snapToGrid w:val="0"/>
          <w:color w:val="000000"/>
          <w:kern w:val="0"/>
          <w:shd w:val="clear" w:color="auto" w:fill="FFFFFF"/>
        </w:rPr>
        <w:t>（四）广播、电视和邮政、通信枢纽</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1.县级以上广播电台、电视台。</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2.县级以上邮政、通信枢纽单位。</w:t>
      </w:r>
    </w:p>
    <w:p>
      <w:pPr>
        <w:spacing w:line="579" w:lineRule="exact"/>
        <w:ind w:firstLine="640" w:firstLineChars="200"/>
        <w:rPr>
          <w:rFonts w:ascii="Times New Roman" w:eastAsia="方正楷体_GBK" w:cs="Times New Roman"/>
          <w:snapToGrid w:val="0"/>
          <w:color w:val="000000"/>
          <w:kern w:val="0"/>
          <w:shd w:val="clear" w:color="auto" w:fill="FFFFFF"/>
        </w:rPr>
      </w:pPr>
      <w:r>
        <w:rPr>
          <w:rFonts w:ascii="Times New Roman" w:eastAsia="方正楷体_GBK" w:cs="Times New Roman"/>
          <w:snapToGrid w:val="0"/>
          <w:color w:val="000000"/>
          <w:kern w:val="0"/>
          <w:shd w:val="clear" w:color="auto" w:fill="FFFFFF"/>
        </w:rPr>
        <w:t>（五）客运车站、码头、民用机场</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1.建筑面积在500平方米以上的客运车站侯车厅、客运码头候船厅。</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2.民用机场航站楼。</w:t>
      </w:r>
    </w:p>
    <w:p>
      <w:pPr>
        <w:spacing w:line="579" w:lineRule="exact"/>
        <w:ind w:firstLine="640" w:firstLineChars="200"/>
        <w:rPr>
          <w:rFonts w:ascii="Times New Roman" w:eastAsia="方正楷体_GBK" w:cs="Times New Roman"/>
          <w:snapToGrid w:val="0"/>
          <w:color w:val="000000"/>
          <w:kern w:val="0"/>
          <w:shd w:val="clear" w:color="auto" w:fill="FFFFFF"/>
        </w:rPr>
      </w:pPr>
      <w:r>
        <w:rPr>
          <w:rFonts w:ascii="Times New Roman" w:eastAsia="方正楷体_GBK" w:cs="Times New Roman"/>
          <w:snapToGrid w:val="0"/>
          <w:color w:val="000000"/>
          <w:kern w:val="0"/>
          <w:shd w:val="clear" w:color="auto" w:fill="FFFFFF"/>
        </w:rPr>
        <w:t>（六）公共图书馆、展览馆、博物馆、档案馆以及具有火灾危险性的文物保护单位</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1.建筑面积在2000平方米以上的公共图书馆、展览馆。</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2.公共博物馆、档案馆。</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3.具有火灾危险性的县级以上文物保护单位。</w:t>
      </w:r>
    </w:p>
    <w:p>
      <w:pPr>
        <w:spacing w:line="579" w:lineRule="exact"/>
        <w:ind w:firstLine="640" w:firstLineChars="200"/>
        <w:rPr>
          <w:rFonts w:ascii="Times New Roman" w:eastAsia="方正楷体_GBK" w:cs="Times New Roman"/>
          <w:snapToGrid w:val="0"/>
          <w:color w:val="000000"/>
          <w:kern w:val="0"/>
          <w:shd w:val="clear" w:color="auto" w:fill="FFFFFF"/>
        </w:rPr>
      </w:pPr>
      <w:r>
        <w:rPr>
          <w:rFonts w:ascii="Times New Roman" w:eastAsia="方正楷体_GBK" w:cs="Times New Roman"/>
          <w:snapToGrid w:val="0"/>
          <w:color w:val="000000"/>
          <w:kern w:val="0"/>
          <w:shd w:val="clear" w:color="auto" w:fill="FFFFFF"/>
        </w:rPr>
        <w:t>（七）除市级消防救援机构列管的发电厂（站）和电网经营企业</w:t>
      </w:r>
    </w:p>
    <w:p>
      <w:pPr>
        <w:spacing w:line="579" w:lineRule="exact"/>
        <w:ind w:firstLine="640" w:firstLineChars="200"/>
        <w:rPr>
          <w:rFonts w:ascii="Times New Roman" w:eastAsia="方正楷体_GBK" w:cs="Times New Roman"/>
          <w:snapToGrid w:val="0"/>
          <w:color w:val="000000"/>
          <w:kern w:val="0"/>
          <w:shd w:val="clear" w:color="auto" w:fill="FFFFFF"/>
        </w:rPr>
      </w:pPr>
      <w:r>
        <w:rPr>
          <w:rFonts w:ascii="Times New Roman" w:eastAsia="方正楷体_GBK" w:cs="Times New Roman"/>
          <w:snapToGrid w:val="0"/>
          <w:color w:val="000000"/>
          <w:kern w:val="0"/>
          <w:shd w:val="clear" w:color="auto" w:fill="FFFFFF"/>
        </w:rPr>
        <w:t>（八）易燃易爆化学物品的生产、充装、储存、供应、销售单位</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1.生产易燃易爆化学物品的工厂。</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2.储量超过5000立方米的易燃易爆气体和液体的灌装站、调压站。</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3.储量超过500公斤的易燃易爆化学物品的专用仓库（堆场、储罐场所）。</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4.其他火灾载荷较大、有较大社会影响的营业性加油站、加气站，液化石油气供应站。</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5.经营易燃易爆化学物品的化工商店：</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（1）经营甲、乙类易燃易爆化学物品，站内总存量500公斤或10立方米以上的商店；</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（2）经营甲、乙类易燃易爆化学物品营业面积在500平方米以上的商店。</w:t>
      </w:r>
    </w:p>
    <w:p>
      <w:pPr>
        <w:widowControl/>
        <w:topLinePunct/>
        <w:spacing w:line="579" w:lineRule="exact"/>
        <w:ind w:firstLine="640" w:firstLineChars="200"/>
        <w:jc w:val="left"/>
        <w:rPr>
          <w:rFonts w:ascii="Times New Roman" w:eastAsia="黑体" w:cs="Times New Roman"/>
          <w:snapToGrid w:val="0"/>
          <w:kern w:val="0"/>
        </w:rPr>
      </w:pPr>
      <w:r>
        <w:rPr>
          <w:rFonts w:ascii="Times New Roman" w:eastAsia="方正楷体_GBK" w:cs="Times New Roman"/>
          <w:snapToGrid w:val="0"/>
          <w:color w:val="000000"/>
          <w:kern w:val="0"/>
          <w:shd w:val="clear" w:color="auto" w:fill="FFFFFF"/>
        </w:rPr>
        <w:t>（九）单个生产车间员工在300人以上劳动密集型生产、加工企业</w:t>
      </w:r>
    </w:p>
    <w:p>
      <w:pPr>
        <w:widowControl/>
        <w:topLinePunct/>
        <w:spacing w:line="579" w:lineRule="exact"/>
        <w:ind w:firstLine="640" w:firstLineChars="200"/>
        <w:jc w:val="left"/>
        <w:rPr>
          <w:rFonts w:ascii="Times New Roman" w:eastAsia="方正楷体_GBK" w:cs="Times New Roman"/>
          <w:snapToGrid w:val="0"/>
          <w:color w:val="000000"/>
          <w:kern w:val="0"/>
          <w:shd w:val="clear" w:color="auto" w:fill="FFFFFF"/>
        </w:rPr>
      </w:pPr>
      <w:r>
        <w:rPr>
          <w:rFonts w:ascii="Times New Roman" w:eastAsia="方正楷体_GBK" w:cs="Times New Roman"/>
          <w:snapToGrid w:val="0"/>
          <w:color w:val="000000"/>
          <w:kern w:val="0"/>
          <w:shd w:val="clear" w:color="auto" w:fill="FFFFFF"/>
        </w:rPr>
        <w:t>（十）火灾载荷较大、有较大社会影响的省级科研单位。</w:t>
      </w:r>
    </w:p>
    <w:p>
      <w:pPr>
        <w:widowControl/>
        <w:topLinePunct/>
        <w:spacing w:line="579" w:lineRule="exact"/>
        <w:ind w:firstLine="640" w:firstLineChars="200"/>
        <w:jc w:val="left"/>
        <w:rPr>
          <w:rFonts w:ascii="Times New Roman" w:eastAsia="方正楷体_GBK" w:cs="Times New Roman"/>
          <w:snapToGrid w:val="0"/>
          <w:color w:val="000000"/>
          <w:kern w:val="0"/>
          <w:shd w:val="clear" w:color="auto" w:fill="FFFFFF"/>
        </w:rPr>
      </w:pPr>
      <w:r>
        <w:rPr>
          <w:rFonts w:ascii="Times New Roman" w:eastAsia="方正楷体_GBK" w:cs="Times New Roman"/>
          <w:snapToGrid w:val="0"/>
          <w:color w:val="000000"/>
          <w:kern w:val="0"/>
          <w:shd w:val="clear" w:color="auto" w:fill="FFFFFF"/>
        </w:rPr>
        <w:t>（十一）高层公共建筑、地下铁道、地下观光隧道，粮、棉、木材、百货等物资仓库和堆场</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1.高层公共建筑建筑高度在50米以上的办公楼（写字楼）、公寓楼等。</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2.除市级消防救援机构列管的城市地下铁道、地下观光隧道等地下公共建筑和城市重要的交通隧道。</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3.国家储备粮库、总储量在30000吨以上的其他粮库。</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4.总储量在1500吨以上的棉库。</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5.总储量在30000立方米以上的木材堆场。</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6.总储存价值在15000万元以上的可燃物品仓库、堆场。</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7.省级重点建筑工程的施工现场。</w:t>
      </w:r>
    </w:p>
    <w:p>
      <w:pPr>
        <w:widowControl/>
        <w:topLinePunct/>
        <w:spacing w:line="579" w:lineRule="exact"/>
        <w:ind w:firstLine="640" w:firstLineChars="200"/>
        <w:jc w:val="left"/>
        <w:rPr>
          <w:rFonts w:ascii="Times New Roman" w:eastAsia="方正楷体_GBK" w:cs="Times New Roman"/>
          <w:snapToGrid w:val="0"/>
          <w:color w:val="000000"/>
          <w:kern w:val="0"/>
          <w:shd w:val="clear" w:color="auto" w:fill="FFFFFF"/>
        </w:rPr>
      </w:pPr>
      <w:r>
        <w:rPr>
          <w:rFonts w:ascii="Times New Roman" w:eastAsia="方正楷体_GBK" w:cs="Times New Roman"/>
          <w:snapToGrid w:val="0"/>
          <w:color w:val="000000"/>
          <w:kern w:val="0"/>
          <w:shd w:val="clear" w:color="auto" w:fill="FFFFFF"/>
        </w:rPr>
        <w:t>（十二）其他需要县级消防救援机构认定为二级消防安全重点单位的。</w:t>
      </w:r>
    </w:p>
    <w:p>
      <w:pPr>
        <w:spacing w:line="579" w:lineRule="exact"/>
        <w:ind w:firstLine="640" w:firstLineChars="200"/>
        <w:rPr>
          <w:rFonts w:ascii="Times New Roman" w:eastAsia="方正黑体_GBK" w:cs="Times New Roman"/>
          <w:snapToGrid w:val="0"/>
          <w:color w:val="000000"/>
          <w:kern w:val="0"/>
          <w:shd w:val="clear" w:color="auto" w:fill="FFFFFF"/>
        </w:rPr>
      </w:pPr>
      <w:r>
        <w:rPr>
          <w:rFonts w:ascii="Times New Roman" w:eastAsia="方正黑体_GBK" w:cs="Times New Roman"/>
          <w:snapToGrid w:val="0"/>
          <w:color w:val="000000"/>
          <w:kern w:val="0"/>
          <w:shd w:val="clear" w:color="auto" w:fill="FFFFFF"/>
        </w:rPr>
        <w:t>三、三级消防安全重点单位（公安派出所列管）</w:t>
      </w:r>
    </w:p>
    <w:p>
      <w:pPr>
        <w:spacing w:line="579" w:lineRule="exact"/>
        <w:ind w:firstLine="640" w:firstLineChars="200"/>
        <w:rPr>
          <w:rFonts w:ascii="Times New Roman" w:eastAsia="方正楷体_GBK" w:cs="Times New Roman"/>
          <w:snapToGrid w:val="0"/>
          <w:color w:val="000000"/>
          <w:kern w:val="0"/>
          <w:shd w:val="clear" w:color="auto" w:fill="FFFFFF"/>
        </w:rPr>
      </w:pPr>
      <w:r>
        <w:rPr>
          <w:rFonts w:ascii="Times New Roman" w:eastAsia="方正楷体_GBK" w:cs="Times New Roman"/>
          <w:snapToGrid w:val="0"/>
          <w:color w:val="000000"/>
          <w:kern w:val="0"/>
          <w:shd w:val="clear" w:color="auto" w:fill="FFFFFF"/>
        </w:rPr>
        <w:t>（一）本辖区内同时满足下列条件的单位和场所；</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1.符合《河南省消防安全重点单位界定标准》；</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2.不符合一级消防安全界定标准和二级消防安全界定标准；</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3.设有自动消防设施且功能复杂的社会单位不得列为三级消防安全重点单位。</w:t>
      </w:r>
    </w:p>
    <w:p>
      <w:pPr>
        <w:spacing w:line="579" w:lineRule="exact"/>
        <w:ind w:firstLine="640" w:firstLineChars="200"/>
        <w:rPr>
          <w:rFonts w:ascii="Times New Roman" w:eastAsia="方正楷体_GBK" w:cs="Times New Roman"/>
          <w:snapToGrid w:val="0"/>
          <w:color w:val="000000"/>
          <w:kern w:val="0"/>
          <w:shd w:val="clear" w:color="auto" w:fill="FFFFFF"/>
        </w:rPr>
      </w:pPr>
      <w:r>
        <w:rPr>
          <w:rFonts w:ascii="Times New Roman" w:eastAsia="方正楷体_GBK" w:cs="Times New Roman"/>
          <w:snapToGrid w:val="0"/>
          <w:color w:val="000000"/>
          <w:kern w:val="0"/>
          <w:shd w:val="clear" w:color="auto" w:fill="FFFFFF"/>
        </w:rPr>
        <w:t>（二）其他发生火灾可能性较大以及一旦发生火灾可能造成人身重大伤亡或者财产重大损失的单位和需要公安机关认定为三级消防安全重点单位的。</w:t>
      </w:r>
    </w:p>
    <w:p>
      <w:pPr>
        <w:spacing w:line="579" w:lineRule="exact"/>
        <w:rPr>
          <w:rFonts w:ascii="Times New Roman" w:eastAsia="方正黑体_GBK" w:cs="Times New Roman"/>
          <w:snapToGrid w:val="0"/>
          <w:kern w:val="0"/>
          <w:shd w:val="clear" w:color="auto" w:fill="FFFFFF"/>
        </w:rPr>
      </w:pPr>
    </w:p>
    <w:p>
      <w:pPr>
        <w:spacing w:line="579" w:lineRule="exact"/>
        <w:rPr>
          <w:rFonts w:ascii="Times New Roman" w:eastAsia="方正黑体_GBK" w:cs="Times New Roman"/>
          <w:snapToGrid w:val="0"/>
          <w:kern w:val="0"/>
          <w:shd w:val="clear" w:color="auto" w:fill="FFFFFF"/>
        </w:rPr>
      </w:pPr>
    </w:p>
    <w:p>
      <w:pPr>
        <w:spacing w:line="579" w:lineRule="exact"/>
        <w:rPr>
          <w:rFonts w:ascii="Times New Roman" w:eastAsia="方正黑体_GBK" w:cs="Times New Roman"/>
          <w:snapToGrid w:val="0"/>
          <w:kern w:val="0"/>
          <w:shd w:val="clear" w:color="auto" w:fill="FFFFFF"/>
        </w:rPr>
      </w:pPr>
    </w:p>
    <w:p>
      <w:pPr>
        <w:spacing w:line="579" w:lineRule="exact"/>
        <w:rPr>
          <w:rFonts w:ascii="Times New Roman" w:eastAsia="方正黑体_GBK" w:cs="Times New Roman"/>
          <w:snapToGrid w:val="0"/>
          <w:kern w:val="0"/>
          <w:shd w:val="clear" w:color="auto" w:fill="FFFFFF"/>
        </w:rPr>
      </w:pPr>
    </w:p>
    <w:p>
      <w:pPr>
        <w:spacing w:line="579" w:lineRule="exact"/>
        <w:rPr>
          <w:rFonts w:ascii="Times New Roman" w:eastAsia="方正黑体_GBK" w:cs="Times New Roman"/>
          <w:snapToGrid w:val="0"/>
          <w:kern w:val="0"/>
          <w:shd w:val="clear" w:color="auto" w:fill="FFFFFF"/>
        </w:rPr>
      </w:pPr>
    </w:p>
    <w:p>
      <w:pPr>
        <w:spacing w:line="579" w:lineRule="exact"/>
        <w:rPr>
          <w:rFonts w:ascii="Times New Roman" w:eastAsia="方正黑体_GBK" w:cs="Times New Roman"/>
          <w:snapToGrid w:val="0"/>
          <w:kern w:val="0"/>
          <w:shd w:val="clear" w:color="auto" w:fill="FFFFFF"/>
        </w:rPr>
      </w:pPr>
    </w:p>
    <w:p>
      <w:pPr>
        <w:spacing w:line="579" w:lineRule="exact"/>
        <w:rPr>
          <w:rFonts w:ascii="Times New Roman" w:eastAsia="方正黑体_GBK" w:cs="Times New Roman"/>
          <w:snapToGrid w:val="0"/>
          <w:kern w:val="0"/>
          <w:shd w:val="clear" w:color="auto" w:fill="FFFFFF"/>
        </w:rPr>
      </w:pPr>
    </w:p>
    <w:p>
      <w:pPr>
        <w:spacing w:line="579" w:lineRule="exact"/>
        <w:rPr>
          <w:rFonts w:ascii="Times New Roman" w:eastAsia="方正黑体_GBK" w:cs="Times New Roman"/>
          <w:snapToGrid w:val="0"/>
          <w:kern w:val="0"/>
          <w:shd w:val="clear" w:color="auto" w:fill="FFFFFF"/>
        </w:rPr>
      </w:pPr>
      <w:r>
        <w:rPr>
          <w:rFonts w:ascii="Times New Roman" w:eastAsia="方正黑体_GBK" w:cs="Times New Roman"/>
          <w:snapToGrid w:val="0"/>
          <w:kern w:val="0"/>
          <w:shd w:val="clear" w:color="auto" w:fill="FFFFFF"/>
        </w:rPr>
        <w:t>说明：</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1.对于符合三级消防安全重点单位标准的单位，如果设有自动消防设施且功能复杂同时设有独立消防控制室，应列为二级消防安全重点单位。</w:t>
      </w:r>
    </w:p>
    <w:p>
      <w:pPr>
        <w:widowControl/>
        <w:topLinePunct/>
        <w:spacing w:line="579" w:lineRule="exact"/>
        <w:ind w:firstLine="640" w:firstLineChars="200"/>
        <w:jc w:val="left"/>
        <w:rPr>
          <w:rFonts w:ascii="Times New Roman" w:eastAsia="方正仿宋_GBK" w:cs="Times New Roman"/>
          <w:snapToGrid w:val="0"/>
          <w:kern w:val="0"/>
        </w:rPr>
      </w:pPr>
      <w:r>
        <w:rPr>
          <w:rFonts w:ascii="Times New Roman" w:eastAsia="方正仿宋_GBK" w:cs="Times New Roman"/>
          <w:snapToGrid w:val="0"/>
          <w:kern w:val="0"/>
        </w:rPr>
        <w:t>2.在一个符合界定标准的单位或建筑物内另有符合界定标准而法人不同的单位，可分别算为消防安全重点单位，法人相同但多家承包。租赁的可算为一个消防安全重点单位。</w:t>
      </w:r>
    </w:p>
    <w:p/>
    <w:p/>
    <w:p/>
    <w:p/>
    <w:p/>
    <w:p/>
    <w:p/>
    <w:p/>
    <w:p/>
    <w:p/>
    <w:p/>
    <w:p/>
    <w:p/>
    <w:p/>
    <w:p/>
    <w:p/>
    <w:p>
      <w:pPr>
        <w:spacing w:line="560" w:lineRule="exact"/>
        <w:jc w:val="left"/>
        <w:rPr>
          <w:rFonts w:ascii="Times New Roman" w:eastAsia="方正小标宋简体" w:cs="Times New Roman"/>
          <w:sz w:val="44"/>
          <w:szCs w:val="44"/>
        </w:rPr>
      </w:pPr>
      <w:r>
        <w:rPr>
          <w:rFonts w:ascii="Times New Roman" w:hAnsi="黑体" w:eastAsia="黑体" w:cs="Times New Roman"/>
          <w:bCs/>
        </w:rPr>
        <w:t>附件</w:t>
      </w:r>
      <w:r>
        <w:rPr>
          <w:rFonts w:ascii="Times New Roman" w:cs="Times New Roman"/>
          <w:bCs/>
        </w:rPr>
        <w:t>1-3</w:t>
      </w:r>
    </w:p>
    <w:p>
      <w:pPr>
        <w:spacing w:line="560" w:lineRule="exact"/>
        <w:jc w:val="center"/>
        <w:rPr>
          <w:rFonts w:ascii="Times New Roman" w:eastAsia="方正小标宋简体" w:cs="Times New Roman"/>
          <w:sz w:val="44"/>
          <w:szCs w:val="44"/>
        </w:rPr>
      </w:pPr>
      <w:r>
        <w:rPr>
          <w:rFonts w:ascii="Times New Roman" w:eastAsia="方正小标宋简体" w:cs="Times New Roman"/>
          <w:sz w:val="44"/>
          <w:szCs w:val="44"/>
        </w:rPr>
        <w:t>河南省火灾高危单位消防安全管理规定</w:t>
      </w:r>
    </w:p>
    <w:p>
      <w:pPr>
        <w:spacing w:line="600" w:lineRule="exact"/>
        <w:ind w:firstLine="640" w:firstLineChars="200"/>
        <w:rPr>
          <w:rFonts w:ascii="Times New Roman" w:eastAsia="方正仿宋_GBK" w:cs="Times New Roman"/>
          <w:shd w:val="clear" w:color="auto" w:fill="FFFFFF"/>
        </w:rPr>
      </w:pPr>
      <w:r>
        <w:rPr>
          <w:rFonts w:ascii="Times New Roman" w:eastAsia="方正仿宋_GBK" w:cs="Times New Roman"/>
          <w:shd w:val="clear" w:color="auto" w:fill="FFFFFF"/>
        </w:rPr>
        <w:t>《河南省火灾高危单位消防安全管理规定》中所称火灾高危单位，是指在本省行政区域内具备以下任一项条件的单位和场所：</w:t>
      </w:r>
    </w:p>
    <w:p>
      <w:pPr>
        <w:spacing w:line="600" w:lineRule="exact"/>
        <w:ind w:firstLine="640" w:firstLineChars="200"/>
        <w:rPr>
          <w:rFonts w:ascii="Times New Roman" w:eastAsia="方正仿宋_GBK" w:cs="Times New Roman"/>
          <w:shd w:val="clear" w:color="auto" w:fill="FFFFFF"/>
        </w:rPr>
      </w:pPr>
      <w:r>
        <w:rPr>
          <w:rFonts w:ascii="Times New Roman" w:eastAsia="方正仿宋_GBK" w:cs="Times New Roman"/>
          <w:shd w:val="clear" w:color="auto" w:fill="FFFFFF"/>
        </w:rPr>
        <w:t>（一）单层建筑面积超过1万平方米或者建筑总面积超过３万平方米、经营易燃可燃物品的商场；</w:t>
      </w:r>
    </w:p>
    <w:p>
      <w:pPr>
        <w:spacing w:line="600" w:lineRule="exact"/>
        <w:ind w:firstLine="640" w:firstLineChars="200"/>
        <w:rPr>
          <w:rFonts w:ascii="Times New Roman" w:eastAsia="方正仿宋_GBK" w:cs="Times New Roman"/>
          <w:shd w:val="clear" w:color="auto" w:fill="FFFFFF"/>
        </w:rPr>
      </w:pPr>
      <w:r>
        <w:rPr>
          <w:rFonts w:ascii="Times New Roman" w:eastAsia="方正仿宋_GBK" w:cs="Times New Roman"/>
          <w:shd w:val="clear" w:color="auto" w:fill="FFFFFF"/>
        </w:rPr>
        <w:t>（二）位于建筑的首层、二层、三层且建筑总面积超过 5000平方米，位于建筑的首层以下或者四层以上建筑总面积超过 2000平方米的公共娱乐场所；</w:t>
      </w:r>
    </w:p>
    <w:p>
      <w:pPr>
        <w:spacing w:line="600" w:lineRule="exact"/>
        <w:ind w:firstLine="640" w:firstLineChars="200"/>
        <w:rPr>
          <w:rFonts w:ascii="Times New Roman" w:eastAsia="方正仿宋_GBK" w:cs="Times New Roman"/>
          <w:shd w:val="clear" w:color="auto" w:fill="FFFFFF"/>
        </w:rPr>
      </w:pPr>
      <w:r>
        <w:rPr>
          <w:rFonts w:ascii="Times New Roman" w:eastAsia="方正仿宋_GBK" w:cs="Times New Roman"/>
          <w:shd w:val="clear" w:color="auto" w:fill="FFFFFF"/>
        </w:rPr>
        <w:t>（三）总储量超过1万立方米的甲、乙类可燃气体和总储量超过3万立方米的甲、乙类易燃液体的生产、充装、储存、销售单位；</w:t>
      </w:r>
    </w:p>
    <w:p>
      <w:pPr>
        <w:spacing w:line="600" w:lineRule="exact"/>
        <w:ind w:firstLine="640" w:firstLineChars="200"/>
        <w:rPr>
          <w:rFonts w:ascii="Times New Roman" w:eastAsia="方正仿宋_GBK" w:cs="Times New Roman"/>
          <w:shd w:val="clear" w:color="auto" w:fill="FFFFFF"/>
        </w:rPr>
      </w:pPr>
      <w:r>
        <w:rPr>
          <w:rFonts w:ascii="Times New Roman" w:eastAsia="方正仿宋_GBK" w:cs="Times New Roman"/>
          <w:shd w:val="clear" w:color="auto" w:fill="FFFFFF"/>
        </w:rPr>
        <w:t>（四）建筑高度超过 100米的高层公共建筑；</w:t>
      </w:r>
    </w:p>
    <w:p>
      <w:pPr>
        <w:spacing w:line="600" w:lineRule="exact"/>
        <w:ind w:firstLine="640" w:firstLineChars="200"/>
        <w:rPr>
          <w:rFonts w:ascii="Times New Roman" w:eastAsia="方正仿宋_GBK" w:cs="Times New Roman"/>
          <w:shd w:val="clear" w:color="auto" w:fill="FFFFFF"/>
        </w:rPr>
      </w:pPr>
      <w:r>
        <w:rPr>
          <w:rFonts w:ascii="Times New Roman" w:eastAsia="方正仿宋_GBK" w:cs="Times New Roman"/>
          <w:shd w:val="clear" w:color="auto" w:fill="FFFFFF"/>
        </w:rPr>
        <w:t>（五）建筑总面积超过 4000平方米的地下公众聚集场所；</w:t>
      </w:r>
    </w:p>
    <w:p>
      <w:pPr>
        <w:spacing w:line="600" w:lineRule="exact"/>
        <w:ind w:firstLine="640" w:firstLineChars="200"/>
        <w:rPr>
          <w:rFonts w:ascii="Times New Roman" w:eastAsia="方正仿宋_GBK" w:cs="Times New Roman"/>
          <w:shd w:val="clear" w:color="auto" w:fill="FFFFFF"/>
        </w:rPr>
      </w:pPr>
      <w:r>
        <w:rPr>
          <w:rFonts w:ascii="Times New Roman" w:eastAsia="方正仿宋_GBK" w:cs="Times New Roman"/>
          <w:shd w:val="clear" w:color="auto" w:fill="FFFFFF"/>
        </w:rPr>
        <w:t>（六）生产可燃易燃物品且单个生产加工车间建筑面积超过2500平方米的劳动密集型企业；</w:t>
      </w:r>
    </w:p>
    <w:p>
      <w:pPr>
        <w:spacing w:line="600" w:lineRule="exact"/>
        <w:ind w:firstLine="640" w:firstLineChars="200"/>
        <w:rPr>
          <w:rFonts w:ascii="Times New Roman" w:eastAsia="方正仿宋_GBK" w:cs="Times New Roman"/>
          <w:shd w:val="clear" w:color="auto" w:fill="FFFFFF"/>
        </w:rPr>
      </w:pPr>
      <w:r>
        <w:rPr>
          <w:rFonts w:ascii="Times New Roman" w:eastAsia="方正仿宋_GBK" w:cs="Times New Roman"/>
          <w:shd w:val="clear" w:color="auto" w:fill="FFFFFF"/>
        </w:rPr>
        <w:t>（七）其他发生火灾易造成重大人员伤亡或者财产损失的单位和场所。</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1492879"/>
      <w:docPartObj>
        <w:docPartGallery w:val="autotext"/>
      </w:docPartObj>
    </w:sdtPr>
    <w:sdtEndPr>
      <w:rPr>
        <w:rFonts w:ascii="Times New Roman" w:cs="Times New Roman"/>
        <w:sz w:val="28"/>
        <w:szCs w:val="28"/>
      </w:rPr>
    </w:sdtEndPr>
    <w:sdtContent>
      <w:p>
        <w:pPr>
          <w:pStyle w:val="2"/>
          <w:jc w:val="right"/>
          <w:rPr>
            <w:rFonts w:ascii="Times New Roman" w:cs="Times New Roman"/>
            <w:sz w:val="28"/>
            <w:szCs w:val="28"/>
          </w:rPr>
        </w:pPr>
        <w:r>
          <w:rPr>
            <w:rFonts w:ascii="Times New Roman" w:cs="Times New Roman"/>
            <w:sz w:val="28"/>
            <w:szCs w:val="28"/>
          </w:rPr>
          <w:t>—</w:t>
        </w:r>
        <w:r>
          <w:rPr>
            <w:rFonts w:ascii="Times New Roman" w:cs="Times New Roman"/>
            <w:sz w:val="28"/>
            <w:szCs w:val="28"/>
          </w:rPr>
          <w:fldChar w:fldCharType="begin"/>
        </w:r>
        <w:r>
          <w:rPr>
            <w:rFonts w:ascii="Times New Roman" w:cs="Times New Roman"/>
            <w:sz w:val="28"/>
            <w:szCs w:val="28"/>
          </w:rPr>
          <w:instrText xml:space="preserve">PAGE   \* MERGEFORMAT</w:instrText>
        </w:r>
        <w:r>
          <w:rPr>
            <w:rFonts w:ascii="Times New Roman" w:cs="Times New Roman"/>
            <w:sz w:val="28"/>
            <w:szCs w:val="28"/>
          </w:rPr>
          <w:fldChar w:fldCharType="separate"/>
        </w:r>
        <w:r>
          <w:rPr>
            <w:rFonts w:ascii="Times New Roman" w:cs="Times New Roman"/>
            <w:sz w:val="28"/>
            <w:szCs w:val="28"/>
            <w:lang w:val="zh-CN"/>
          </w:rPr>
          <w:t>1</w:t>
        </w:r>
        <w:r>
          <w:rPr>
            <w:rFonts w:ascii="Times New Roman" w:cs="Times New Roman"/>
            <w:sz w:val="28"/>
            <w:szCs w:val="28"/>
          </w:rPr>
          <w:fldChar w:fldCharType="end"/>
        </w:r>
        <w:r>
          <w:rPr>
            <w:rFonts w:ascii="Times New Roman" w:cs="Times New Roman"/>
            <w:sz w:val="28"/>
            <w:szCs w:val="28"/>
          </w:rPr>
          <w:t>—</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5632047"/>
      <w:docPartObj>
        <w:docPartGallery w:val="autotext"/>
      </w:docPartObj>
    </w:sdtPr>
    <w:sdtEndPr>
      <w:rPr>
        <w:rFonts w:ascii="Times New Roman" w:cs="Times New Roman"/>
        <w:sz w:val="28"/>
        <w:szCs w:val="28"/>
      </w:rPr>
    </w:sdtEndPr>
    <w:sdtContent>
      <w:p>
        <w:pPr>
          <w:pStyle w:val="2"/>
          <w:rPr>
            <w:rFonts w:ascii="Times New Roman" w:cs="Times New Roman"/>
            <w:sz w:val="28"/>
            <w:szCs w:val="28"/>
          </w:rPr>
        </w:pPr>
        <w:r>
          <w:rPr>
            <w:rFonts w:ascii="Times New Roman" w:cs="Times New Roman"/>
            <w:sz w:val="28"/>
            <w:szCs w:val="28"/>
          </w:rPr>
          <w:t>—</w:t>
        </w:r>
        <w:r>
          <w:rPr>
            <w:rFonts w:ascii="Times New Roman" w:cs="Times New Roman"/>
            <w:sz w:val="28"/>
            <w:szCs w:val="28"/>
          </w:rPr>
          <w:fldChar w:fldCharType="begin"/>
        </w:r>
        <w:r>
          <w:rPr>
            <w:rFonts w:ascii="Times New Roman" w:cs="Times New Roman"/>
            <w:sz w:val="28"/>
            <w:szCs w:val="28"/>
          </w:rPr>
          <w:instrText xml:space="preserve">PAGE   \* MERGEFORMAT</w:instrText>
        </w:r>
        <w:r>
          <w:rPr>
            <w:rFonts w:ascii="Times New Roman" w:cs="Times New Roman"/>
            <w:sz w:val="28"/>
            <w:szCs w:val="28"/>
          </w:rPr>
          <w:fldChar w:fldCharType="separate"/>
        </w:r>
        <w:r>
          <w:rPr>
            <w:rFonts w:ascii="Times New Roman" w:cs="Times New Roman"/>
            <w:sz w:val="28"/>
            <w:szCs w:val="28"/>
            <w:lang w:val="zh-CN"/>
          </w:rPr>
          <w:t>2</w:t>
        </w:r>
        <w:r>
          <w:rPr>
            <w:rFonts w:ascii="Times New Roman" w:cs="Times New Roman"/>
            <w:sz w:val="28"/>
            <w:szCs w:val="28"/>
          </w:rPr>
          <w:fldChar w:fldCharType="end"/>
        </w:r>
        <w:r>
          <w:rPr>
            <w:rFonts w:ascii="Times New Roman" w:cs="Times New Roman"/>
            <w:sz w:val="28"/>
            <w:szCs w:val="28"/>
          </w:rPr>
          <w:t>—</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A81F0A"/>
    <w:rsid w:val="0EEA778F"/>
    <w:rsid w:val="51A81F0A"/>
    <w:rsid w:val="61162323"/>
    <w:rsid w:val="654F1F17"/>
    <w:rsid w:val="D7F78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仿宋_GB2312" w:hAnsi="Times New Roman" w:eastAsia="仿宋_GB2312" w:cs="仿宋_GB2312"/>
      <w:kern w:val="2"/>
      <w:sz w:val="32"/>
      <w:szCs w:val="3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Office_11.8.2.11625_F1E327BC-269C-435d-A152-05C5408002CA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2023-05-09T11:56:00Z</dcterms:created>
  <dc:creator>Administrator</dc:creator>
  <cp:lastModifiedBy>administrator</cp:lastModifiedBy>
  <dcterms:modified xsi:type="dcterms:W3CDTF">2023-05-10T09:28:14Z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2052-11.8.2.11625</vt:lpwstr>
  </property>
  <property fmtid="{D5CDD505-2E9C-101B-9397-08002B2CF9AE}" pid="3" name="ICV">
    <vt:lpwstr>402F57EADF304E518B6F0077CA2197BC</vt:lpwstr>
  </property>
</Properties>
</file>